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/>
        <w:jc w:val="right"/>
        <w:rPr>
          <w:rFonts w:ascii="Times New Roman" w:hAnsi="Times New Roman" w:eastAsia="Times New Roman" w:cs="Times New Roman"/>
          <w:i/>
          <w:i/>
          <w:iCs/>
          <w:color w:val="1F497D"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   </w:t>
      </w:r>
      <w:r>
        <w:rPr>
          <w:rFonts w:eastAsia="Times New Roman" w:cs="Times New Roman" w:ascii="Corbel" w:hAnsi="Corbel"/>
          <w:b/>
          <w:bCs/>
          <w:lang w:val="pl-PL" w:eastAsia="en-US"/>
        </w:rPr>
        <w:tab/>
      </w:r>
      <w:r>
        <w:rPr>
          <w:rFonts w:eastAsia="Times New Roman" w:cs="Times New Roman" w:ascii="Cambria" w:hAnsi="Cambria" w:asciiTheme="majorHAnsi" w:hAnsiTheme="majorHAnsi"/>
          <w:b/>
          <w:bCs/>
          <w:lang w:val="pl-PL" w:eastAsia="en-US"/>
        </w:rPr>
        <w:tab/>
        <w:tab/>
        <w:tab/>
      </w:r>
      <w:r>
        <w:rPr>
          <w:rFonts w:eastAsia="Times New Roman" w:cs="Times New Roman" w:ascii="Times New Roman" w:hAnsi="Times New Roman"/>
          <w:b/>
          <w:bCs/>
          <w:lang w:val="pl-PL" w:eastAsia="en-US"/>
        </w:rPr>
        <w:tab/>
        <w:tab/>
      </w:r>
      <w:r>
        <w:rPr>
          <w:rFonts w:eastAsia="Times New Roman" w:cs="Times New Roman" w:ascii="Times New Roman" w:hAnsi="Times New Roman"/>
          <w:i/>
          <w:iCs/>
          <w:color w:val="1F497D"/>
          <w:lang w:val="pl-PL" w:eastAsia="en-US"/>
        </w:rPr>
        <w:t>Załącznik nr 1.5 do Zarządzenia Rektora UR  nr 12/2019</w:t>
      </w:r>
    </w:p>
    <w:p>
      <w:pPr>
        <w:pStyle w:val="Normal"/>
        <w:spacing w:lineRule="auto" w:line="240" w:before="0" w:after="0"/>
        <w:jc w:val="center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SYLABUS</w:t>
      </w:r>
    </w:p>
    <w:p>
      <w:pPr>
        <w:pStyle w:val="Normal"/>
        <w:spacing w:lineRule="exact" w:line="240" w:before="0" w:after="0"/>
        <w:jc w:val="center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dotyczy cyklu kształcenia 2020/21- 2022/23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 w:ascii="Corbel" w:hAnsi="Corbel"/>
          <w:i/>
          <w:iCs/>
          <w:lang w:val="pl-PL" w:eastAsia="en-US"/>
        </w:rPr>
        <w:t xml:space="preserve">                                                                           </w:t>
      </w:r>
      <w:r>
        <w:rPr>
          <w:rFonts w:eastAsia="Times New Roman" w:cs="Times New Roman" w:ascii="Corbel" w:hAnsi="Corbel"/>
          <w:i/>
          <w:iCs/>
          <w:lang w:val="pl-PL" w:eastAsia="en-US"/>
        </w:rPr>
        <w:t>(skrajne daty</w:t>
      </w:r>
      <w:r>
        <w:rPr>
          <w:rFonts w:eastAsia="Times New Roman" w:cs="Times New Roman" w:ascii="Corbel" w:hAnsi="Corbel"/>
          <w:lang w:val="pl-PL" w:eastAsia="en-US"/>
        </w:rPr>
        <w:t>)</w:t>
      </w:r>
    </w:p>
    <w:p>
      <w:pPr>
        <w:pStyle w:val="Normal"/>
        <w:spacing w:lineRule="exact" w:line="240" w:before="0" w:after="0"/>
        <w:jc w:val="center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exact" w:line="240" w:before="0" w:after="0"/>
        <w:jc w:val="center"/>
        <w:rPr>
          <w:rFonts w:ascii="Corbel" w:hAnsi="Corbel" w:eastAsia="Calibri" w:cs="Times New Roman"/>
          <w:lang w:val="pl-PL" w:eastAsia="en-US"/>
        </w:rPr>
      </w:pPr>
      <w:r>
        <w:rPr>
          <w:rFonts w:eastAsia="Calibri" w:cs="Times New Roman" w:ascii="Corbel" w:hAnsi="Corbel"/>
          <w:lang w:val="pl-PL" w:eastAsia="en-US"/>
        </w:rPr>
        <w:t>Rok akademicki  2020/2021</w:t>
      </w:r>
    </w:p>
    <w:p>
      <w:pPr>
        <w:pStyle w:val="Normal"/>
        <w:spacing w:lineRule="auto" w:line="240" w:before="0" w:after="0"/>
        <w:jc w:val="center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1. Podstawowe informacje o przedmiocie</w:t>
      </w:r>
    </w:p>
    <w:tbl>
      <w:tblPr>
        <w:tblW w:w="9781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92"/>
        <w:gridCol w:w="7088"/>
      </w:tblGrid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Nazwa przedmiotu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Lektorat języka niemieckiego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Kod przedmiotu*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exact" w:line="240" w:before="0" w:after="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Nazwa jednostki prowadzącej kierunek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Kolegium Nauk Humanistycznych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Nazwa jednostki realizującej przedmiot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Studium Języków Obcych 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Kierunek studiów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Historia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 xml:space="preserve">Poziom kształcenia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Pierwszego stopnia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Profil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Ogólnoakademicki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Forma studiów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Stacjonarne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Rok i semestr/y studiów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Rok I i II, semestr 1, 2, 3, 4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Rodzaj przedmiotu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Ćwiczenia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Język wykładowy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polski/niemiecki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Koordynator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mgr Agnieszka Nahurska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Imię i nazwisko osoby prowadzącej / osób prowadzących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m</w:t>
            </w:r>
            <w:bookmarkStart w:id="0" w:name="_GoBack"/>
            <w:bookmarkEnd w:id="0"/>
            <w:r>
              <w:rPr>
                <w:rFonts w:eastAsia="Times New Roman" w:cs="Times New Roman" w:ascii="Corbel" w:hAnsi="Corbel"/>
                <w:lang w:val="pl-PL" w:eastAsia="en-US"/>
              </w:rPr>
              <w:t>gr Małgorzata Szpala</w:t>
            </w:r>
          </w:p>
        </w:tc>
      </w:tr>
    </w:tbl>
    <w:p>
      <w:pPr>
        <w:pStyle w:val="Normal"/>
        <w:tabs>
          <w:tab w:val="left" w:pos="-5814" w:leader="none"/>
        </w:tabs>
        <w:spacing w:lineRule="auto" w:line="240" w:beforeAutospacing="1" w:afterAutospacing="1"/>
        <w:jc w:val="both"/>
        <w:textAlignment w:val="baseline"/>
        <w:rPr>
          <w:rFonts w:ascii="Corbel" w:hAnsi="Corbel" w:eastAsia="Times New Roman" w:cs="Times New Roman"/>
          <w:bCs/>
          <w:lang w:val="pl-PL"/>
        </w:rPr>
      </w:pPr>
      <w:r>
        <w:rPr>
          <w:rFonts w:eastAsia="Times New Roman" w:cs="Times New Roman" w:ascii="Corbel" w:hAnsi="Corbel"/>
          <w:bCs/>
          <w:lang w:val="pl-PL"/>
        </w:rPr>
        <w:t xml:space="preserve">* </w:t>
      </w:r>
      <w:r>
        <w:rPr>
          <w:rFonts w:eastAsia="Times New Roman" w:cs="Times New Roman" w:ascii="Corbel" w:hAnsi="Corbel"/>
          <w:bCs/>
          <w:i/>
          <w:lang w:val="pl-PL"/>
        </w:rPr>
        <w:t>-opcjonalni</w:t>
      </w:r>
      <w:r>
        <w:rPr>
          <w:rFonts w:eastAsia="Times New Roman" w:cs="Times New Roman" w:ascii="Corbel" w:hAnsi="Corbel"/>
          <w:bCs/>
          <w:lang w:val="pl-PL"/>
        </w:rPr>
        <w:t>e,</w:t>
      </w:r>
      <w:r>
        <w:rPr>
          <w:rFonts w:eastAsia="Times New Roman" w:cs="Times New Roman" w:ascii="Corbel" w:hAnsi="Corbel"/>
          <w:bCs/>
          <w:i/>
          <w:lang w:val="pl-PL"/>
        </w:rPr>
        <w:t xml:space="preserve"> zgodnie z ustaleniami w Jednostce</w:t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284" w:hanging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  <w:t xml:space="preserve">1.1.Formy zajęć dydaktycznych, wymiar godzin i punktów ECTS </w:t>
      </w:r>
    </w:p>
    <w:p>
      <w:pPr>
        <w:pStyle w:val="Normal"/>
        <w:tabs>
          <w:tab w:val="left" w:pos="-5814" w:leader="none"/>
        </w:tabs>
        <w:spacing w:lineRule="auto" w:line="240" w:before="0" w:after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</w:r>
    </w:p>
    <w:tbl>
      <w:tblPr>
        <w:tblW w:w="10178" w:type="dxa"/>
        <w:jc w:val="left"/>
        <w:tblInd w:w="-3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258"/>
        <w:gridCol w:w="878"/>
        <w:gridCol w:w="698"/>
        <w:gridCol w:w="895"/>
        <w:gridCol w:w="772"/>
        <w:gridCol w:w="803"/>
        <w:gridCol w:w="698"/>
        <w:gridCol w:w="909"/>
        <w:gridCol w:w="2153"/>
        <w:gridCol w:w="1113"/>
      </w:tblGrid>
      <w:tr>
        <w:trPr/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Semestr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(nr)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Wykł.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Ćw.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Konw.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Lab.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ZP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Prakt.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Samokształcenie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Liczba pkt ECTS</w:t>
            </w:r>
          </w:p>
        </w:tc>
      </w:tr>
      <w:tr>
        <w:trPr>
          <w:trHeight w:val="453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razem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120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8</w:t>
            </w:r>
          </w:p>
        </w:tc>
      </w:tr>
    </w:tbl>
    <w:p>
      <w:pPr>
        <w:pStyle w:val="Normal"/>
        <w:tabs>
          <w:tab w:val="left" w:pos="709" w:leader="none"/>
        </w:tabs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1.2.</w:t>
        <w:tab/>
        <w:t xml:space="preserve">Sposób realizacji zajęć 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159385" cy="33718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3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0" w:type="dxa"/>
                              <w:jc w:val="left"/>
                              <w:tblInd w:w="6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val="0000" w:noVBand="0" w:noHBand="0" w:firstRow="0" w:lastRow="0" w:firstColumn="0" w:lastColumn="0"/>
                            </w:tblPr>
                            <w:tblGrid>
                              <w:gridCol w:w="250"/>
                            </w:tblGrid>
                            <w:tr>
                              <w:trPr/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orbel" w:hAnsi="Corbel"/>
                                      <w:lang w:val="pl-PL" w:eastAsia="en-US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3.75pt;margin-top:0.05pt;width:12.45pt;height:26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50" w:type="dxa"/>
                        <w:jc w:val="left"/>
                        <w:tblInd w:w="6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val="0000" w:noVBand="0" w:noHBand="0" w:firstRow="0" w:lastRow="0" w:firstColumn="0" w:lastColumn="0"/>
                      </w:tblPr>
                      <w:tblGrid>
                        <w:gridCol w:w="250"/>
                      </w:tblGrid>
                      <w:tr>
                        <w:trPr/>
                        <w:tc>
                          <w:tcPr>
                            <w:tcW w:w="2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Corbel" w:hAnsi="Corbel"/>
                                <w:lang w:val="pl-PL" w:eastAsia="en-US"/>
                              </w:rPr>
                              <w:t>x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Corbel" w:hAnsi="Corbel"/>
          <w:lang w:val="pl-PL" w:eastAsia="en-US"/>
        </w:rPr>
        <w:t>w formie tradycyjnej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/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159385" cy="33718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3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0" w:type="dxa"/>
                              <w:jc w:val="left"/>
                              <w:tblInd w:w="6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val="0000" w:noVBand="0" w:noHBand="0" w:firstRow="0" w:lastRow="0" w:firstColumn="0" w:lastColumn="0"/>
                            </w:tblPr>
                            <w:tblGrid>
                              <w:gridCol w:w="250"/>
                            </w:tblGrid>
                            <w:tr>
                              <w:trPr/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orbel" w:hAnsi="Corbel"/>
                                      <w:lang w:val="pl-PL" w:eastAsia="en-US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3.75pt;margin-top:0.05pt;width:12.45pt;height:26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50" w:type="dxa"/>
                        <w:jc w:val="left"/>
                        <w:tblInd w:w="6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val="0000" w:noVBand="0" w:noHBand="0" w:firstRow="0" w:lastRow="0" w:firstColumn="0" w:lastColumn="0"/>
                      </w:tblPr>
                      <w:tblGrid>
                        <w:gridCol w:w="250"/>
                      </w:tblGrid>
                      <w:tr>
                        <w:trPr/>
                        <w:tc>
                          <w:tcPr>
                            <w:tcW w:w="2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Corbel" w:hAnsi="Corbel"/>
                                <w:lang w:val="pl-PL" w:eastAsia="en-US"/>
                              </w:rPr>
                              <w:t>x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Corbel" w:hAnsi="Corbel"/>
          <w:lang w:val="pl-PL" w:eastAsia="en-US"/>
        </w:rPr>
        <w:t>zajęcia realizowane z wykorzystaniem metod i technik kształcenia na odległość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9" w:hanging="425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9" w:hanging="425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1.3 </w:t>
        <w:tab/>
        <w:t xml:space="preserve">Forma zaliczenia przedmiotu  (z toku) </w:t>
      </w:r>
      <w:r>
        <w:rPr>
          <w:rFonts w:eastAsia="Times New Roman" w:cs="Times New Roman" w:ascii="Corbel" w:hAnsi="Corbel"/>
          <w:lang w:val="pl-PL" w:eastAsia="en-US"/>
        </w:rPr>
        <w:t>(egzamin, zaliczenie z oceną, zaliczenie bez oceny)</w:t>
      </w:r>
    </w:p>
    <w:p>
      <w:pPr>
        <w:pStyle w:val="Normal"/>
        <w:spacing w:lineRule="auto" w:line="240" w:before="0" w:after="0"/>
        <w:ind w:left="9765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 xml:space="preserve"> </w:t>
      </w:r>
      <w:r>
        <w:rPr>
          <w:rFonts w:eastAsia="Times New Roman" w:cs="Times New Roman" w:ascii="Corbel" w:hAnsi="Corbel"/>
          <w:lang w:val="pl-PL" w:eastAsia="en-US"/>
        </w:rPr>
        <w:t xml:space="preserve">egzamin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smallCaps/>
          <w:lang w:val="pl-PL" w:eastAsia="en-US"/>
        </w:rPr>
      </w:pPr>
      <w:r>
        <w:rPr>
          <w:rFonts w:eastAsia="Times New Roman" w:cs="Times New Roman" w:ascii="Corbel" w:hAnsi="Corbel"/>
          <w:smallCap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 xml:space="preserve">2.Wymagania wstępne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</w:r>
    </w:p>
    <w:tbl>
      <w:tblPr>
        <w:tblW w:w="9670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70"/>
      </w:tblGrid>
      <w:tr>
        <w:trPr/>
        <w:tc>
          <w:tcPr>
            <w:tcW w:w="9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Znajomość języka niemieckiego na poziomie B1 według Europejskiego Systemu Opisu Kształcenia Językowego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3. cele, efekty uczenia się , treści Programowe i stosowane metody Dydaktyczne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360" w:hanging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  <w:t>3.1 Cele przedmiotu</w:t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360" w:hanging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</w:r>
    </w:p>
    <w:tbl>
      <w:tblPr>
        <w:tblW w:w="9778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5"/>
        <w:gridCol w:w="9102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40" w:after="4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 xml:space="preserve">C1 </w:t>
            </w:r>
          </w:p>
        </w:tc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40" w:after="4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Rozwijanie  czterech sprawności językowych (rozumienie ze słuchu, rozumienie tekstu czytanego, tworzenie wypowiedzi ustnych i pisemnych) w ramach tworzenia kompetencji komunikacyjnej na poziomie B2.</w:t>
            </w:r>
          </w:p>
        </w:tc>
      </w:tr>
      <w:tr>
        <w:trPr>
          <w:trHeight w:val="70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  <w:tab w:val="left" w:pos="720" w:leader="none"/>
              </w:tabs>
              <w:spacing w:lineRule="auto" w:line="240" w:before="40" w:after="4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C2</w:t>
            </w:r>
          </w:p>
        </w:tc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 xml:space="preserve">Wykształcenie kompetencji językowej umożliwiającej komunikację w sytuacjach dnia codziennego </w:t>
            </w:r>
            <w:r>
              <w:rPr>
                <w:rFonts w:eastAsia="Times New Roman" w:cs="Times New Roman" w:ascii="Corbel" w:hAnsi="Corbel"/>
                <w:lang w:val="pl-PL" w:eastAsia="en-US"/>
              </w:rPr>
              <w:t>jak i płynne i poprawne posługiwanie się językiem niemieckim do celów zawodowych i naukowych.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40" w:after="4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C3</w:t>
            </w:r>
          </w:p>
        </w:tc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40" w:after="4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Kształcenie i udoskonalenie poprawności gramatycznej w wypowiedziach ustnych i pisemnych.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40" w:after="4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C4</w:t>
            </w:r>
          </w:p>
        </w:tc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Poszerzenie słownictwa ogólnego oraz wprowadzenie słownictwa specjalistycznego (słownictwa z zakresu historii).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40" w:after="4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C5</w:t>
            </w:r>
          </w:p>
        </w:tc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Przygotowanie do przedstawienia zagadnień dotyczących własnej tematyki zawodowej w formie prezentacji opracowanej w oparciu o teksty fachowe.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/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/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/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/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3.2 Efekty uczenia się dla przedmiotu </w:t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9670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99"/>
        <w:gridCol w:w="6096"/>
        <w:gridCol w:w="1875"/>
      </w:tblGrid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EK</w:t>
            </w:r>
            <w:r>
              <w:rPr>
                <w:rFonts w:eastAsia="Times New Roman" w:cs="Times New Roman" w:ascii="Corbel" w:hAnsi="Corbel"/>
                <w:lang w:val="pl-PL" w:eastAsia="en-US"/>
              </w:rPr>
              <w:t xml:space="preserve"> (efekt uczenia się)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i/>
                <w:i/>
                <w:i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i/>
                <w:iCs/>
                <w:lang w:val="pl-PL" w:eastAsia="en-US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Treść efektu uczenia się zdefiniowanego dla przedmiotu 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Odniesienie do efektów  kierunkowych </w:t>
            </w:r>
          </w:p>
        </w:tc>
      </w:tr>
      <w:tr>
        <w:trPr>
          <w:trHeight w:val="928" w:hRule="atLeast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EK</w:t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Student potrafi posługiwać się językiem obcym na poziomie B2 ESOKJ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  <w:lang w:val="pl-PL"/>
              </w:rPr>
            </w:pPr>
            <w:r>
              <w:rPr>
                <w:rFonts w:ascii="Corbel" w:hAnsi="Corbel"/>
              </w:rPr>
              <w:t>ZGODNIE Z CELAMI ZAPISANYMI W PKT 3.1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smallCaps/>
                <w:lang w:val="pl-PL"/>
              </w:rPr>
              <w:t>K_U06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EK_02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Student jest gotów do uznawania krytycznej oceny i weryfikowania posiadanej i zdobywanej wiedzy w rozwiązywaniu problemów poznawczych i praktycznych oraz zasięgania opinii ekspertów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ascii="Corbel" w:hAnsi="Corbel"/>
              </w:rPr>
              <w:t>ZGODNIE Z CELAMI ZAPISANYMI W PKT 3.1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smallCap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smallCaps/>
                <w:lang w:val="pl-PL"/>
              </w:rPr>
              <w:t>K_K01</w:t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/>
        <w:jc w:val="both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3.3 Treści programowe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 xml:space="preserve">Problematyka wykładu </w:t>
      </w:r>
    </w:p>
    <w:tbl>
      <w:tblPr>
        <w:tblW w:w="9639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Treści merytoryczne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 xml:space="preserve">Problematyka ćwiczeń audytoryjnych, konwersatoryjnych, laboratoryjnych, zajęć praktycznych 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Treści merytoryczne 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Semestr 1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Przygotowanie do wypełniania ról zawodowych: etapy kształcenia, uniwersytety i szkoły wyższe, struktura uczelni, władze, wydziały, organizacja roku akademickiego, plany studiów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Funkcjonowanie w domu, szkole i zakładzie pracy: reguły zachowania, formuły powitania, pożegnania, prowadzenia rozmowy, negocjowania, sposób ubierania się (dress-code)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Zawody i zadania zawodowe: nazywanie  zawodów, pełnionych funkcji, czynności (z uwzględnieniem specyfiki wybranego kierunku studiów oraz specjalności), stopnie kariery zawodowej, planowanie własnego rozwoju zawodowego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Podróże służbowe: lotnicze, autobusowe i samochodowe, rezerwacja biletu i hotelu, ustalenie i przesunięcie terminu spotkań.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Semestr 2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Rozmowa kwalifikacyjna: życiorys, podanie o pracę, przygotowanie do rozmowy kwalifikacyjnej, typowe pytania i odpowiedzi.</w:t>
            </w:r>
          </w:p>
        </w:tc>
      </w:tr>
      <w:tr>
        <w:trPr>
          <w:trHeight w:val="623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Historia najnowsza- fakty z pierwszych stron gazet. Sprawozdanie, notatka, plan wypowiedzi.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Tematy związane z historią, kulturą i realiami społecznymi krajów niemieckojęzycznych.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Terminologia historyczna; funkcjonowanie w zawodzie historyka.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Semestr 3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Kraje niemieckojęzyczne – geografia, historia, turystyka, święta.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Kultura - kino, teatr, literatura, media.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Wykształcenie, system szkolnictwa w Polsce i w krajach niemieckojęzycznych</w:t>
            </w:r>
          </w:p>
        </w:tc>
      </w:tr>
      <w:tr>
        <w:trPr>
          <w:trHeight w:val="186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Czas wolny, pasje i zainteresowania.</w:t>
            </w:r>
          </w:p>
        </w:tc>
      </w:tr>
      <w:tr>
        <w:trPr>
          <w:trHeight w:val="186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              </w:t>
            </w:r>
            <w:r>
              <w:rPr>
                <w:rFonts w:eastAsia="Times New Roman" w:cs="Times New Roman" w:ascii="Corbel" w:hAnsi="Corbel"/>
                <w:lang w:val="pl-PL" w:eastAsia="en-US"/>
              </w:rPr>
              <w:t>Semestr 4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Historia: fakty z historii starożytnej, średniowiecznej, innych okresów historycznych oraz historii najnowszej świata.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Wielkie postacie historii krajów niemieckojęzycznych (charakterystyka postaci, działalność, tło historyczne).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Media – prasa, radio, telewizja, multimedia, Internet i  ich wpływ na kształtowanie świadomości społecznej i pamięci historycznej.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Wybrane wydarzenie historyczne; tematyczne prezentacje multimedialne studentów. Zasady konstruowania agendy wypowiedzi, pokazu multimedialnego, cytowania źródeł, zapis bibliograficzny.</w:t>
            </w:r>
          </w:p>
        </w:tc>
      </w:tr>
    </w:tbl>
    <w:p>
      <w:pPr>
        <w:pStyle w:val="Normal"/>
        <w:spacing w:lineRule="auto" w:line="240"/>
        <w:ind w:left="360" w:hanging="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smallCaps/>
          <w:lang w:val="pl-PL" w:eastAsia="en-US"/>
        </w:rPr>
      </w:pPr>
      <w:r>
        <w:rPr>
          <w:rFonts w:eastAsia="Times New Roman" w:cs="Times New Roman" w:ascii="Corbel" w:hAnsi="Corbel"/>
          <w:smallCap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3.4 Metody dydaktyczne</w:t>
      </w:r>
      <w:r>
        <w:rPr>
          <w:rFonts w:eastAsia="Times New Roman" w:cs="Times New Roman" w:ascii="Corbel" w:hAnsi="Corbel"/>
          <w:lang w:val="pl-PL" w:eastAsia="en-US"/>
        </w:rPr>
        <w:t xml:space="preserve">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>Metody komunikatywne</w:t>
      </w:r>
    </w:p>
    <w:p>
      <w:pPr>
        <w:pStyle w:val="Normal"/>
        <w:spacing w:lineRule="auto" w:line="240" w:before="0" w:after="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>Formy organizacyjne: praca indywidualna, praca w grupach, dyskusja, rozwiązywanie zadań i testów, prezentacja dydaktyczna, prezentacja multimedialna wybranego zagadnienia zgodnego z kierunkiem studiów wraz z omówieniem, analiza przypadków, ćwiczenia translacyjne pisemne i ustne z zakresu języka niemieckiego specjalistycznego z dziedziny  historii.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4. METODY I KRYTERIA OCENY 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4.1 Sposoby weryfikacji efektów uczenia się</w:t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9498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85"/>
        <w:gridCol w:w="5526"/>
        <w:gridCol w:w="1987"/>
      </w:tblGrid>
      <w:tr>
        <w:trPr/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Symbol efektu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i/>
                <w:i/>
                <w:i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i/>
                <w:iCs/>
                <w:lang w:val="pl-PL" w:eastAsia="en-US"/>
              </w:rPr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Metody oceny efektów uczenia się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 np.: kolokwium, egzamin ustny, egzamin pisemny, projekt, sprawozdanie, obserwacja w trakcie zajęć)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Forma zajęć dydaktycznych</w:t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EK_01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Sprawdzian pisemny testowy, wypowiedź  ustna, sprawozdanie, obserwacja w trakcie zajęć, egzamin (test i dłuższa wypowiedź pisemna oraz ustna prezentacja projektu)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ćwiczenia</w:t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EK_02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 xml:space="preserve"> </w:t>
            </w: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wypowiedź ustna,  prezentacja projektu, obserwacja ciągła w trakcie zajęć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ćwiczenia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4.2 Warunki zaliczenia przedmiotu (kryteria oceniania) </w:t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9670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70"/>
      </w:tblGrid>
      <w:tr>
        <w:trPr/>
        <w:tc>
          <w:tcPr>
            <w:tcW w:w="9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Warunkiem zaliczenia przedmiotu jest osiągnięcie wszystkich założonych efektów uczenia się, w szczególności zaliczenie na ocenę pozytywną wszystkich przewidzianych w danym semestrze prac pisemnych i uzyskanie pozytywnej oceny z odpowiedzi ustnych, a także obecność na zajęciach i aktywne uczestnictwo w zajęciach. Do zaliczenie testu pisemnego, egzaminu potrzeba minimum 51% prawidłowych odpowiedzi.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Sposoby zaliczenia: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praca projektowa (prezentacja projektu indywidualnego z zakresu studiowanego kierunku i specjalności),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zaliczenie sprawdzianu pisemnego ( test jednokrotnego wyboru i/lub dłuższa wypowiedź pisemna)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Formy zaliczenia: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krótsza i dłuższa wypowiedź ustna,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zaliczenie pisemne: test jednokrotnego wyboru i/lub dłuższa wypowiedź pisemna,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wykonanie pracy zaliczeniowej: prezentacja projektu indywidualnego z zakresu studiowanego kierunku i specjalności(lektura, sprawozdanie /streszczenie artykułu naukowego, prezentacja multimedialna tematu z zakresu studiowanej specjalności wraz z omówieniem)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Semestr 1: sprawdzian pisemny ( test jednokrotnego wyboru i/lub dłuższa wypowiedź pisemna), zaliczenie projektu indywidualnego( omówienie artykułu naukowego/ tłumaczenie tekstu specjalistycznego)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Semestr 2: sprawdzian pisemny ( test jednokrotnego wyboru i/lub dłuższa wypowiedź pisemna), zaliczenie projektu indywidualnego( omówienie artykułu naukowego/ tłumaczenie tekstu specjalistycznego)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Semestr 3: sprawdzian pisemny ( test jednokrotnego wyboru i/lub dłuższa wypowiedź pisemna), zaliczenie projektu indywidualnego( omówienie artykułu naukowego/ tłumaczenie tekstu specjalistycznego)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 xml:space="preserve">Semestr 4: sprawdzian pisemny ( test jednokrotnego wyboru i/lub dłuższa wypowiedź pisemna), zaliczenie projektu indywidualnego( omówienie artykułu naukowego/ tłumaczenie tekstu specjalistycznego związanego z prezentacją multimedialną), wykonanie pracy egzaminacyjnej , części ustnej: przygotowanie i przedstawienie na forum grupy  prezentacji multimedialnej z zakresu studiowanego kierunku i specjalności  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sz w:val="22"/>
              </w:rPr>
              <w:t>UMIEJĘTNOŚCI W ZAKRESIE JĘZYKA OBCEGO ZGODNE Z WYMAGANIAMI OKREŚLONYMI DLA POZIOMU B2 ESOKJ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Ustalenie oceny zaliczeniowej na podstawie ocen cząstkowych.</w:t>
            </w:r>
            <w:r>
              <w:rPr>
                <w:rFonts w:ascii="Corbel" w:hAnsi="Corbel"/>
                <w:caps w:val="false"/>
                <w:smallCaps w:val="false"/>
                <w:sz w:val="22"/>
              </w:rPr>
              <w:t xml:space="preserve"> 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Egzamin / zaliczenie końcowe: egzamin pisemny testowy na poziomie B2 i dłuższa wypowiedź pisemna, egzamin ustny – prezentacja projektu indywidualnego z zakresu studiowanego kierunku i specjalności realizowane podczas semestru  4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 xml:space="preserve">Kryteria oceny prac pisemnych: 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5.0 – wykazuje znajomość każdej z treści uczenia się na poziomie 91%-100%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4.5 – wykazuje znajomość każdej z treści uczenia się na poziomie 81%-90%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4.0 – wykazuje znajomość każdej z treści uczenia się na poziomie 71%-80%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3.5 – wykazuje znajomość każdej z treści uczenia się na poziomie 61%-70%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3.0 – wykazuje znajomość każdej z treści uczenia się na poziomie 51%-60%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2.0– wykazuje znajomość każdej z treści uczenia się poniżej 50%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Kryteria oceny odpowiedzi ustnej: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5.0 – wykazuje znajomość treści uczenia się na poziomie 91%-100%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bardzo dobra: bardzo dobry poziom znajomości słownictwa i struktur językowych, brak błędów językowych lub nieliczne błędy językowe nie zakłócające komunikacji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4.5 – wykazuje znajomość treści uczenia się na poziomie 81%-90%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 plus dobra: dobry  poziom znajomości słownictwa i struktur językowych, nieliczne błędy językowe nieznacznie zakłócające komunikację, nieznaczne zakłócenia w płynności  wypowiedzi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4.0 – wykazuje znajomość treści uczenia się na poziomie 71%-80%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dobra: zadawalający poziom znajomości słownictwa i struktur językowych, błędy językowe nieznacznie zakłócające komunikację, nieznaczne zakłócenia w płynności  wypowiedzi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3.5 – wykazuje znajomość treści uczenia się na poziomie 61%-70%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+dostateczna: ograniczona znajomość słownictwa i struktur językowych, liczne błędy językowe znacznie zakłócające komunikację i płynność wypowiedzi, odpowiedzi częściowo odbiegające od treści zadanego pytania, niekompletna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3.0 – wykazuje znajomość treści uczenia się na poziomie 51%-60%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dostateczna: ograniczona znajomość słownictwa i struktur językowych, liczne błędy językowe znacznie zakłócające komunikację i płynność wypowiedzi, niepełne odpowiedzi na pytania, odpowiedzi częściowo odbiegające od treści zadanego pytania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2.0 – wykazuje znajomość treści uczenia się poniżej 50%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niedostateczna: brak odpowiedzi lub bardzo ograniczona znajomość słownictwa i struktur językowych uniemożliwiająca wykonanie zadania, chaotyczna konstrukcja wypowiedzi, bardzo uboga treść, niekomunikatywność, mylenie i zniekształcanie podstawowych informacji</w:t>
            </w:r>
          </w:p>
          <w:p>
            <w:pPr>
              <w:pStyle w:val="Punktygwne"/>
              <w:spacing w:lineRule="auto" w:line="240" w:before="0" w:after="0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Ocenę pozytywną z przedmiotu można otrzymać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wyłącznie pod warunkiem uzyskania pozytywnej oceny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za każdy z ustanowionych efektów uczenia się.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Ocenę końcową z przedmiotu stanowi średnia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arytmetyczna z ocen cząstkowych.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5. CAŁKOWITY NAKŁAD PRACY STUDENTA POTRZEBNY DO OSIĄGNIĘCIA ZAŁOŻONYCH EFEKTÓW W GODZINACH ORAZ PUNKTACH ECTS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tbl>
      <w:tblPr>
        <w:tblW w:w="9639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520"/>
        <w:gridCol w:w="3118"/>
      </w:tblGrid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Średnia liczba godzin na zrealizowanie aktywności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Godziny kontaktowe wynikające z harmonogramu studiów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120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Inne z udziałem nauczyciela akademickiego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(udział w konsultacjach, egzaminie)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orbel" w:hAnsi="Corbel" w:eastAsia="Calibri" w:cs="Times New Roman"/>
                <w:lang w:val="pl-PL"/>
              </w:rPr>
            </w:pPr>
            <w:r>
              <w:rPr>
                <w:rFonts w:eastAsia="Calibri" w:cs="Times New Roman" w:ascii="Corbel" w:hAnsi="Corbel"/>
                <w:lang w:val="pl-PL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ascii="Corbel" w:hAnsi="Corbel"/>
                <w:lang w:val="pl-PL" w:eastAsia="en-US"/>
              </w:rPr>
              <w:t>(18 udział w konsultacjach, 2 udział w egzaminie-części pisemnej)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Godziny niekontaktowe – praca własna studenta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(przygotowanie do zajęć, egzaminu, czas na przygotowanie projektu/ lektury / prezentacji multimedialnej z zakresu studiowanej specjalności i seminarium dyplomowego, praca własna w ramach e-dydaktyki, napisanie referatu, streszczenia, planu prezentacji itp.)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orbel" w:hAnsi="Corbel" w:eastAsia="Calibri" w:cs="Times New Roman"/>
                <w:lang w:val="pl-PL"/>
              </w:rPr>
            </w:pPr>
            <w:r>
              <w:rPr>
                <w:rFonts w:eastAsia="Calibri" w:cs="Times New Roman" w:ascii="Corbel" w:hAnsi="Corbel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orbel" w:hAnsi="Corbel" w:eastAsia="Calibri" w:cs="Times New Roman"/>
                <w:lang w:val="pl-PL"/>
              </w:rPr>
            </w:pPr>
            <w:r>
              <w:rPr>
                <w:rFonts w:eastAsia="Calibri" w:cs="Times New Roman" w:ascii="Corbel" w:hAnsi="Corbel"/>
                <w:lang w:val="pl-PL"/>
              </w:rPr>
              <w:t>60</w:t>
            </w:r>
          </w:p>
          <w:p>
            <w:pPr>
              <w:pStyle w:val="Normal"/>
              <w:spacing w:before="0" w:after="200"/>
              <w:ind w:firstLine="708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ascii="Corbel" w:hAnsi="Corbel"/>
                <w:lang w:val="pl-PL" w:eastAsia="en-US"/>
              </w:rPr>
              <w:t>(przygotowanie do zajęć, czas na przygotowanie  lektury/projektu, czas na  przygotowanie  prezentacji multimedialnej z zakresu studiowanej specjalności i seminarium dyplomowego  do zaliczenia końcowego, praca własna w ramach e-dydaktyki)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SUMA GODZIN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200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SUMARYCZNA LICZBA PUNKTÓW ECTS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8</w:t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i/>
          <w:i/>
          <w:iCs/>
          <w:lang w:val="pl-PL" w:eastAsia="en-US"/>
        </w:rPr>
      </w:pPr>
      <w:r>
        <w:rPr>
          <w:rFonts w:eastAsia="Times New Roman" w:cs="Times New Roman" w:ascii="Corbel" w:hAnsi="Corbel"/>
          <w:i/>
          <w:iCs/>
          <w:lang w:val="pl-PL" w:eastAsia="en-US"/>
        </w:rPr>
        <w:t xml:space="preserve">* Należy uwzględnić, że 1 pkt ECTS odpowiada </w:t>
      </w:r>
      <w:r>
        <w:rPr>
          <w:rFonts w:eastAsia="Times New Roman" w:cs="Times New Roman" w:ascii="Corbel" w:hAnsi="Corbel"/>
          <w:i/>
          <w:iCs/>
          <w:u w:val="single"/>
          <w:lang w:val="pl-PL" w:eastAsia="en-US"/>
        </w:rPr>
        <w:t>25</w:t>
      </w:r>
      <w:r>
        <w:rPr>
          <w:rFonts w:eastAsia="Times New Roman" w:cs="Times New Roman" w:ascii="Corbel" w:hAnsi="Corbel"/>
          <w:i/>
          <w:iCs/>
          <w:lang w:val="pl-PL" w:eastAsia="en-US"/>
        </w:rPr>
        <w:t>-30 godzin całkowitego nakładu pracy studenta.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6. PRAKTYKI ZAWODOWE W RAMACH PRZEDMIOTU</w:t>
      </w:r>
    </w:p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47"/>
        <w:gridCol w:w="5090"/>
      </w:tblGrid>
      <w:tr>
        <w:trPr>
          <w:trHeight w:val="397" w:hRule="atLeast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wymiar godzinowy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brak</w:t>
            </w:r>
          </w:p>
        </w:tc>
      </w:tr>
      <w:tr>
        <w:trPr>
          <w:trHeight w:val="397" w:hRule="atLeast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zasady i formy odbywania praktyk 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nie dotyczy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7. LITERATURA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>
          <w:trHeight w:val="397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eastAsia="Times New Roman" w:cs="Times New Roman"/>
                <w:b/>
                <w:b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lang w:val="pl-PL" w:eastAsia="en-US"/>
              </w:rPr>
              <w:t>Literatura podstawowa: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Wybrane zagadnienia z podręczników: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240" w:after="0"/>
              <w:jc w:val="both"/>
              <w:rPr>
                <w:rFonts w:ascii="Corbel" w:hAnsi="Corbel" w:eastAsia="Times New Roman" w:cs="Times New Roman"/>
                <w:lang w:eastAsia="en-US"/>
              </w:rPr>
            </w:pPr>
            <w:r>
              <w:rPr>
                <w:rFonts w:eastAsia="Times New Roman" w:cs="Times New Roman" w:ascii="Corbel" w:hAnsi="Corbel"/>
                <w:lang w:eastAsia="en-US"/>
              </w:rPr>
              <w:t>Specht, F., Evans, S., Pude, A.; Menschen. Kursbuch und Arbeitsbuch. Hueber Verlag (2015).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Corbel" w:hAnsi="Corbel" w:eastAsia="Times New Roman" w:cs="Times New Roman"/>
                <w:lang w:eastAsia="en-US"/>
              </w:rPr>
            </w:pPr>
            <w:r>
              <w:rPr>
                <w:rFonts w:eastAsia="Times New Roman" w:cs="Times New Roman" w:ascii="Corbel" w:hAnsi="Corbel"/>
                <w:lang w:eastAsia="en-US"/>
              </w:rPr>
            </w:r>
          </w:p>
        </w:tc>
      </w:tr>
      <w:tr>
        <w:trPr>
          <w:trHeight w:val="488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eastAsia="en-US"/>
              </w:rPr>
              <w:t xml:space="preserve">Literatura uzupełniająca: 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rbel" w:hAnsi="Corbel" w:eastAsia="Times New Roman" w:cs="Times New Roman"/>
                <w:lang w:eastAsia="en-US"/>
              </w:rPr>
            </w:pPr>
            <w:r>
              <w:rPr>
                <w:rFonts w:eastAsia="Times New Roman" w:cs="Times New Roman" w:ascii="Corbel" w:hAnsi="Corbel"/>
                <w:lang w:eastAsia="en-US"/>
              </w:rPr>
              <w:t>Bęza, S; Eine kleine Landeskunde der deutschsprachigen Länder. WSiP (2010)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rbel" w:hAnsi="Corbel" w:eastAsia="Times New Roman" w:cs="Times New Roman"/>
                <w:lang w:eastAsia="en-US"/>
              </w:rPr>
            </w:pPr>
            <w:r>
              <w:rPr>
                <w:rFonts w:eastAsia="Times New Roman" w:cs="Times New Roman" w:ascii="Corbel" w:hAnsi="Corbel"/>
                <w:lang w:eastAsia="en-US"/>
              </w:rPr>
              <w:t>Pilaski, A., Bolte-Costabiei, Ch.,  Behal-Thomsen, H., Fröhlich, B.; Entdeckungsreise D-A-CH. Kursbuch zur Landeskunde,  Langenscheidt (2011)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PONS. Wielka gramatyka niemiecka z ćwiczeniami / PRACA ZBIOROWA, LektorKlett (2014)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 xml:space="preserve">Strony www z zakresu tematycznego studiowanego kierunku oraz wybranej specjalności: https://www.deutschland.de/de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ascii="Corbel" w:hAnsi="Corbel" w:eastAsia="Times New Roman" w:cs="Times New Roman"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>http://www.tatsachen-ueber-deutschland.de/de/geschichte.html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>http://www.dw.de/deutsch-lernen/s-2055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 xml:space="preserve">E-dydaktyka (strona www CJO; </w:t>
            </w:r>
            <w:hyperlink r:id="rId2">
              <w:r>
                <w:rPr>
                  <w:rStyle w:val="Czeinternetowe"/>
                  <w:rFonts w:eastAsia="Times New Roman" w:cs="Times New Roman" w:ascii="Corbel" w:hAnsi="Corbel"/>
                  <w:bCs/>
                  <w:lang w:val="pl-PL" w:eastAsia="en-US"/>
                </w:rPr>
                <w:t>http://e-dydaktyka.ur.rzeszow.pl</w:t>
              </w:r>
            </w:hyperlink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 xml:space="preserve"> 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 xml:space="preserve">Słowniki online: </w:t>
            </w:r>
            <w:hyperlink r:id="rId3">
              <w:r>
                <w:rPr>
                  <w:rStyle w:val="Czeinternetowe"/>
                  <w:rFonts w:eastAsia="Times New Roman" w:cs="Times New Roman" w:ascii="Corbel" w:hAnsi="Corbel"/>
                  <w:lang w:val="pl-PL" w:eastAsia="en-US"/>
                </w:rPr>
                <w:t>http://www.duden.de</w:t>
              </w:r>
            </w:hyperlink>
            <w:r>
              <w:rPr>
                <w:rFonts w:eastAsia="Times New Roman" w:cs="Times New Roman" w:ascii="Corbel" w:hAnsi="Corbel"/>
                <w:lang w:val="pl-PL" w:eastAsia="en-US"/>
              </w:rPr>
              <w:t xml:space="preserve">, </w:t>
            </w:r>
            <w:hyperlink r:id="rId4">
              <w:r>
                <w:rPr>
                  <w:rStyle w:val="Czeinternetowe"/>
                  <w:rFonts w:eastAsia="Times New Roman" w:cs="Times New Roman" w:ascii="Corbel" w:hAnsi="Corbel"/>
                  <w:lang w:val="pl-PL" w:eastAsia="en-US"/>
                </w:rPr>
                <w:t>http://de.pons.com</w:t>
              </w:r>
            </w:hyperlink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orbel" w:hAnsi="Corbel" w:eastAsia="Times New Roman" w:cs="Times New Roman"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>Platforma e-learningowa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>Materiały własne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>
                <w:rFonts w:ascii="Corbel" w:hAnsi="Corbel" w:eastAsia="Times New Roman" w:cs="Times New Roman"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Corbel" w:hAnsi="Corbel"/>
          <w:lang w:val="pl-PL" w:eastAsia="en-US"/>
        </w:rPr>
        <w:t>Akceptacja Kierownika Jednostki lub osoby upoważnionej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1a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b422a5"/>
    <w:pPr>
      <w:keepNext/>
      <w:spacing w:lineRule="auto" w:line="240" w:before="240" w:after="60"/>
      <w:outlineLvl w:val="1"/>
    </w:pPr>
    <w:rPr>
      <w:rFonts w:ascii="Times New Roman" w:hAnsi="Times New Roman" w:eastAsia="" w:eastAsiaTheme="majorEastAsia"/>
      <w:b/>
      <w:bCs/>
      <w:iCs/>
      <w:sz w:val="26"/>
      <w:szCs w:val="28"/>
      <w:lang w:val="pl-PL"/>
    </w:rPr>
  </w:style>
  <w:style w:type="paragraph" w:styleId="Nagwek4">
    <w:name w:val="Heading 4"/>
    <w:basedOn w:val="Normal"/>
    <w:link w:val="Nagwek4Znak"/>
    <w:uiPriority w:val="9"/>
    <w:unhideWhenUsed/>
    <w:qFormat/>
    <w:rsid w:val="00a952ee"/>
    <w:pPr>
      <w:keepNext/>
      <w:spacing w:lineRule="auto" w:line="240" w:before="240" w:after="60"/>
      <w:outlineLvl w:val="3"/>
    </w:pPr>
    <w:rPr>
      <w:rFonts w:ascii="Times New Roman" w:hAnsi="Times New Roman"/>
      <w:b/>
      <w:bCs/>
      <w:sz w:val="24"/>
      <w:szCs w:val="28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b422a5"/>
    <w:rPr>
      <w:rFonts w:ascii="Times New Roman" w:hAnsi="Times New Roman" w:eastAsia="" w:eastAsiaTheme="majorEastAsia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422a5"/>
    <w:rPr>
      <w:rFonts w:ascii="Times New Roman" w:hAnsi="Times New Roman" w:eastAsia="" w:eastAsiaTheme="majorEastAsia"/>
      <w:b/>
      <w:bCs/>
      <w:iCs/>
      <w:sz w:val="26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a952ee"/>
    <w:rPr>
      <w:rFonts w:ascii="Times New Roman" w:hAnsi="Times New Roman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b83db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ytu">
    <w:name w:val="Title"/>
    <w:basedOn w:val="Normal"/>
    <w:link w:val="TytuZnak"/>
    <w:uiPriority w:val="10"/>
    <w:qFormat/>
    <w:rsid w:val="00b422a5"/>
    <w:pPr>
      <w:spacing w:lineRule="auto" w:line="240" w:before="240" w:after="60"/>
      <w:outlineLvl w:val="0"/>
    </w:pPr>
    <w:rPr>
      <w:rFonts w:ascii="Times New Roman" w:hAnsi="Times New Roman" w:eastAsia="" w:eastAsiaTheme="majorEastAsia"/>
      <w:b/>
      <w:bCs/>
      <w:sz w:val="32"/>
      <w:szCs w:val="32"/>
      <w:lang w:val="pl-PL"/>
    </w:rPr>
  </w:style>
  <w:style w:type="paragraph" w:styleId="ListParagraph">
    <w:name w:val="List Paragraph"/>
    <w:basedOn w:val="Normal"/>
    <w:uiPriority w:val="34"/>
    <w:qFormat/>
    <w:rsid w:val="00b83db4"/>
    <w:pPr>
      <w:spacing w:before="0" w:after="200"/>
      <w:ind w:left="720" w:hanging="0"/>
      <w:contextualSpacing/>
    </w:pPr>
    <w:rPr/>
  </w:style>
  <w:style w:type="paragraph" w:styleId="Punktygwne" w:customStyle="1">
    <w:name w:val="Punkty główne"/>
    <w:basedOn w:val="Normal"/>
    <w:qFormat/>
    <w:rsid w:val="00923c8f"/>
    <w:pPr>
      <w:spacing w:lineRule="auto" w:line="240" w:before="240" w:after="60"/>
    </w:pPr>
    <w:rPr>
      <w:rFonts w:ascii="Times New Roman" w:hAnsi="Times New Roman" w:eastAsia="Calibri" w:cs="Times New Roman"/>
      <w:b/>
      <w:smallCaps/>
      <w:sz w:val="24"/>
      <w:lang w:val="pl-PL" w:eastAsia="en-US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-dydaktyka.ur.rzeszow.pl/" TargetMode="External"/><Relationship Id="rId3" Type="http://schemas.openxmlformats.org/officeDocument/2006/relationships/hyperlink" Target="http://www.duden.de/" TargetMode="External"/><Relationship Id="rId4" Type="http://schemas.openxmlformats.org/officeDocument/2006/relationships/hyperlink" Target="http://de.pons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432E-2D78-472E-9ED7-BBD6F06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LibreOffice/5.1.6.2$Linux_X86_64 LibreOffice_project/10m0$Build-2</Application>
  <Pages>7</Pages>
  <Words>1544</Words>
  <Characters>10997</Characters>
  <CharactersWithSpaces>12468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2019-07-14T10:38:00Z</dcterms:created>
  <dc:creator>Dorota</dc:creator>
  <dc:description/>
  <dc:language>pl-PL</dc:language>
  <cp:lastModifiedBy/>
  <dcterms:modified xsi:type="dcterms:W3CDTF">2020-09-30T20:40:42Z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