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2E6B" w:rsidR="002A7E5A" w:rsidP="00BC2E6B" w:rsidRDefault="00900C76" w14:paraId="6E126071" w14:textId="77777777">
      <w:pPr>
        <w:spacing w:line="240" w:lineRule="auto"/>
        <w:jc w:val="center"/>
        <w:rPr>
          <w:rFonts w:ascii="Corbel" w:hAnsi="Corbel" w:eastAsia="Corbel" w:cs="Corbel"/>
          <w:i/>
        </w:rPr>
      </w:pPr>
      <w:r>
        <w:rPr>
          <w:rFonts w:ascii="Corbel" w:hAnsi="Corbel" w:eastAsia="Corbel" w:cs="Corbel"/>
          <w:b/>
          <w:smallCaps/>
          <w:sz w:val="24"/>
          <w:szCs w:val="24"/>
        </w:rPr>
        <w:t>SYLABUS</w:t>
      </w:r>
    </w:p>
    <w:p w:rsidR="002A7E5A" w:rsidP="565BFCE9" w:rsidRDefault="00900C76" w14:paraId="6E126072" w14:textId="7F9C257B">
      <w:pPr>
        <w:spacing w:after="0" w:line="240" w:lineRule="auto"/>
        <w:jc w:val="center"/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</w:pPr>
      <w:r w:rsidRPr="565BFCE9" w:rsidR="60CE7648">
        <w:rPr>
          <w:rFonts w:ascii="Corbel" w:hAnsi="Corbel" w:eastAsia="Corbel" w:cs="Corbel"/>
          <w:b w:val="1"/>
          <w:bCs w:val="1"/>
          <w:smallCaps w:val="1"/>
          <w:sz w:val="24"/>
          <w:szCs w:val="24"/>
        </w:rPr>
        <w:t xml:space="preserve">dotyczy cyklu kształcenia </w:t>
      </w:r>
      <w:r w:rsidRPr="565BFCE9" w:rsidR="60DE387C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202</w:t>
      </w:r>
      <w:r w:rsidRPr="565BFCE9" w:rsidR="74BA8D49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6</w:t>
      </w:r>
      <w:r w:rsidRPr="565BFCE9" w:rsidR="60DE387C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-202</w:t>
      </w:r>
      <w:r w:rsidRPr="565BFCE9" w:rsidR="391A5AFE">
        <w:rPr>
          <w:rFonts w:ascii="Corbel" w:hAnsi="Corbel" w:eastAsia="Corbel" w:cs="Corbel"/>
          <w:i w:val="1"/>
          <w:iCs w:val="1"/>
          <w:smallCaps w:val="1"/>
          <w:sz w:val="24"/>
          <w:szCs w:val="24"/>
        </w:rPr>
        <w:t>9</w:t>
      </w:r>
    </w:p>
    <w:p w:rsidR="002A7E5A" w:rsidRDefault="00900C76" w14:paraId="6E126073" w14:textId="77777777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>
        <w:rPr>
          <w:rFonts w:ascii="Corbel" w:hAnsi="Corbel" w:eastAsia="Corbel" w:cs="Corbel"/>
          <w:i/>
          <w:sz w:val="24"/>
          <w:szCs w:val="24"/>
        </w:rPr>
        <w:t xml:space="preserve"> </w:t>
      </w:r>
      <w:r>
        <w:rPr>
          <w:rFonts w:ascii="Corbel" w:hAnsi="Corbel" w:eastAsia="Corbel" w:cs="Corbel"/>
          <w:i/>
          <w:sz w:val="20"/>
          <w:szCs w:val="20"/>
        </w:rPr>
        <w:t>(skrajne daty</w:t>
      </w:r>
      <w:r>
        <w:rPr>
          <w:rFonts w:ascii="Corbel" w:hAnsi="Corbel" w:eastAsia="Corbel" w:cs="Corbel"/>
          <w:sz w:val="20"/>
          <w:szCs w:val="20"/>
        </w:rPr>
        <w:t>)</w:t>
      </w:r>
    </w:p>
    <w:p w:rsidR="002A7E5A" w:rsidRDefault="002A7E5A" w14:paraId="6E126074" w14:textId="77777777">
      <w:pPr>
        <w:spacing w:after="0" w:line="240" w:lineRule="auto"/>
        <w:jc w:val="both"/>
        <w:rPr>
          <w:rFonts w:ascii="Corbel" w:hAnsi="Corbel" w:eastAsia="Corbel" w:cs="Corbel"/>
          <w:sz w:val="20"/>
          <w:szCs w:val="20"/>
        </w:rPr>
      </w:pPr>
    </w:p>
    <w:p w:rsidR="002A7E5A" w:rsidRDefault="00722EB1" w14:paraId="6E126075" w14:textId="375CDB0E">
      <w:pPr>
        <w:spacing w:after="0" w:line="240" w:lineRule="auto"/>
        <w:jc w:val="center"/>
        <w:rPr>
          <w:rFonts w:ascii="Corbel" w:hAnsi="Corbel" w:eastAsia="Corbel" w:cs="Corbel"/>
          <w:sz w:val="20"/>
          <w:szCs w:val="20"/>
        </w:rPr>
      </w:pPr>
      <w:r w:rsidRPr="565BFCE9" w:rsidR="60DE387C">
        <w:rPr>
          <w:rFonts w:ascii="Corbel" w:hAnsi="Corbel" w:eastAsia="Corbel" w:cs="Corbel"/>
          <w:sz w:val="20"/>
          <w:szCs w:val="20"/>
        </w:rPr>
        <w:t>Rok akademicki   202</w:t>
      </w:r>
      <w:r w:rsidRPr="565BFCE9" w:rsidR="6C390767">
        <w:rPr>
          <w:rFonts w:ascii="Corbel" w:hAnsi="Corbel" w:eastAsia="Corbel" w:cs="Corbel"/>
          <w:sz w:val="20"/>
          <w:szCs w:val="20"/>
        </w:rPr>
        <w:t>6</w:t>
      </w:r>
      <w:r w:rsidRPr="565BFCE9" w:rsidR="60DE387C">
        <w:rPr>
          <w:rFonts w:ascii="Corbel" w:hAnsi="Corbel" w:eastAsia="Corbel" w:cs="Corbel"/>
          <w:sz w:val="20"/>
          <w:szCs w:val="20"/>
        </w:rPr>
        <w:t>/202</w:t>
      </w:r>
      <w:r w:rsidRPr="565BFCE9" w:rsidR="11F0D8E8">
        <w:rPr>
          <w:rFonts w:ascii="Corbel" w:hAnsi="Corbel" w:eastAsia="Corbel" w:cs="Corbel"/>
          <w:sz w:val="20"/>
          <w:szCs w:val="20"/>
        </w:rPr>
        <w:t>7</w:t>
      </w:r>
    </w:p>
    <w:p w:rsidR="002A7E5A" w:rsidRDefault="002A7E5A" w14:paraId="6E126076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2A7E5A" w:rsidRDefault="00900C76" w14:paraId="6E12607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70C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1. Podstawowe informacje o przedmiocie</w:t>
      </w:r>
    </w:p>
    <w:tbl>
      <w:tblPr>
        <w:tblStyle w:val="aa"/>
        <w:tblW w:w="9781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7087"/>
      </w:tblGrid>
      <w:tr w:rsidR="002A7E5A" w:rsidTr="4A84CD58" w14:paraId="6E12607A" w14:textId="77777777">
        <w:tc>
          <w:tcPr>
            <w:tcW w:w="2694" w:type="dxa"/>
            <w:tcMar/>
            <w:vAlign w:val="center"/>
          </w:tcPr>
          <w:p w:rsidR="002A7E5A" w:rsidRDefault="00900C76" w14:paraId="6E1260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</w:pPr>
            <w:r>
              <w:rPr>
                <w:rFonts w:ascii="Corbel" w:hAnsi="Corbel" w:eastAsia="Corbel" w:cs="Corbel"/>
                <w:b/>
                <w:color w:val="000000"/>
                <w:sz w:val="28"/>
                <w:szCs w:val="28"/>
              </w:rPr>
              <w:t xml:space="preserve">Etyka zawodu ratownika medycznego </w:t>
            </w:r>
          </w:p>
        </w:tc>
      </w:tr>
      <w:tr w:rsidR="002A7E5A" w:rsidTr="4A84CD58" w14:paraId="6E12607D" w14:textId="77777777">
        <w:tc>
          <w:tcPr>
            <w:tcW w:w="2694" w:type="dxa"/>
            <w:tcMar/>
            <w:vAlign w:val="center"/>
          </w:tcPr>
          <w:p w:rsidR="002A7E5A" w:rsidRDefault="00900C76" w14:paraId="6E1260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7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EtRM</w:t>
            </w:r>
          </w:p>
        </w:tc>
      </w:tr>
      <w:tr w:rsidR="002A7E5A" w:rsidTr="4A84CD58" w14:paraId="6E126080" w14:textId="77777777">
        <w:tc>
          <w:tcPr>
            <w:tcW w:w="2694" w:type="dxa"/>
            <w:tcMar/>
            <w:vAlign w:val="center"/>
          </w:tcPr>
          <w:p w:rsidR="002A7E5A" w:rsidRDefault="00900C76" w14:paraId="6E1260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="002A7E5A" w:rsidRDefault="00722EB1" w14:paraId="6E1260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Wydział Nauk o Zdrowiu i Psychologii</w:t>
            </w:r>
          </w:p>
        </w:tc>
      </w:tr>
      <w:tr w:rsidR="002A7E5A" w:rsidTr="4A84CD58" w14:paraId="6E126083" w14:textId="77777777">
        <w:tc>
          <w:tcPr>
            <w:tcW w:w="2694" w:type="dxa"/>
            <w:tcMar/>
            <w:vAlign w:val="center"/>
          </w:tcPr>
          <w:p w:rsidR="002A7E5A" w:rsidRDefault="00900C76" w14:paraId="6E12608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="002A7E5A" w:rsidRDefault="00722EB1" w14:paraId="6E1260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Katedra Ratownictwa Medycznego </w:t>
            </w:r>
          </w:p>
        </w:tc>
      </w:tr>
      <w:tr w:rsidR="002A7E5A" w:rsidTr="4A84CD58" w14:paraId="6E126086" w14:textId="77777777">
        <w:tc>
          <w:tcPr>
            <w:tcW w:w="2694" w:type="dxa"/>
            <w:tcMar/>
            <w:vAlign w:val="center"/>
          </w:tcPr>
          <w:p w:rsidR="002A7E5A" w:rsidRDefault="00900C76" w14:paraId="6E12608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Ratownictwo Medyczne </w:t>
            </w:r>
          </w:p>
        </w:tc>
      </w:tr>
      <w:tr w:rsidR="002A7E5A" w:rsidTr="4A84CD58" w14:paraId="6E126089" w14:textId="77777777">
        <w:tc>
          <w:tcPr>
            <w:tcW w:w="2694" w:type="dxa"/>
            <w:tcMar/>
            <w:vAlign w:val="center"/>
          </w:tcPr>
          <w:p w:rsidR="002A7E5A" w:rsidRDefault="00900C76" w14:paraId="6E12608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Studia I stopnia</w:t>
            </w:r>
          </w:p>
        </w:tc>
      </w:tr>
      <w:tr w:rsidR="002A7E5A" w:rsidTr="4A84CD58" w14:paraId="6E12608C" w14:textId="77777777">
        <w:tc>
          <w:tcPr>
            <w:tcW w:w="2694" w:type="dxa"/>
            <w:tcMar/>
            <w:vAlign w:val="center"/>
          </w:tcPr>
          <w:p w:rsidR="002A7E5A" w:rsidRDefault="00900C76" w14:paraId="6E1260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praktyczny</w:t>
            </w:r>
          </w:p>
        </w:tc>
      </w:tr>
      <w:tr w:rsidR="002A7E5A" w:rsidTr="4A84CD58" w14:paraId="6E12608F" w14:textId="77777777">
        <w:tc>
          <w:tcPr>
            <w:tcW w:w="2694" w:type="dxa"/>
            <w:tcMar/>
            <w:vAlign w:val="center"/>
          </w:tcPr>
          <w:p w:rsidR="002A7E5A" w:rsidRDefault="00900C76" w14:paraId="6E1260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8E" w14:textId="77777777">
            <w:pPr>
              <w:spacing w:before="40" w:after="4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sz w:val="24"/>
                <w:szCs w:val="24"/>
              </w:rPr>
              <w:t>stacjonarne/niestacjonarne</w:t>
            </w:r>
          </w:p>
        </w:tc>
      </w:tr>
      <w:tr w:rsidR="002A7E5A" w:rsidTr="4A84CD58" w14:paraId="6E126092" w14:textId="77777777">
        <w:tc>
          <w:tcPr>
            <w:tcW w:w="2694" w:type="dxa"/>
            <w:tcMar/>
            <w:vAlign w:val="center"/>
          </w:tcPr>
          <w:p w:rsidR="002A7E5A" w:rsidRDefault="00900C76" w14:paraId="6E12609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9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rok I, semestr I</w:t>
            </w:r>
          </w:p>
        </w:tc>
      </w:tr>
      <w:tr w:rsidR="002A7E5A" w:rsidTr="4A84CD58" w14:paraId="6E126095" w14:textId="77777777">
        <w:tc>
          <w:tcPr>
            <w:tcW w:w="2694" w:type="dxa"/>
            <w:tcMar/>
            <w:vAlign w:val="center"/>
          </w:tcPr>
          <w:p w:rsidR="002A7E5A" w:rsidRDefault="00900C76" w14:paraId="6E1260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B. Nauki behawioralne i społeczne </w:t>
            </w:r>
          </w:p>
        </w:tc>
      </w:tr>
      <w:tr w:rsidR="002A7E5A" w:rsidTr="4A84CD58" w14:paraId="6E126098" w14:textId="77777777">
        <w:tc>
          <w:tcPr>
            <w:tcW w:w="2694" w:type="dxa"/>
            <w:tcMar/>
            <w:vAlign w:val="center"/>
          </w:tcPr>
          <w:p w:rsidR="002A7E5A" w:rsidRDefault="00900C76" w14:paraId="6E1260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="002A7E5A" w:rsidRDefault="00900C76" w14:paraId="6E12609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polski</w:t>
            </w:r>
          </w:p>
        </w:tc>
      </w:tr>
      <w:tr w:rsidR="002A7E5A" w:rsidTr="4A84CD58" w14:paraId="6E12609B" w14:textId="77777777">
        <w:tc>
          <w:tcPr>
            <w:tcW w:w="2694" w:type="dxa"/>
            <w:tcMar/>
            <w:vAlign w:val="center"/>
          </w:tcPr>
          <w:p w:rsidR="002A7E5A" w:rsidRDefault="00900C76" w14:paraId="6E12609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="002A7E5A" w:rsidP="4A84CD58" w:rsidRDefault="002B651C" w14:paraId="6E12609A" w14:textId="03E82D0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  <w:lang w:val="en-US"/>
              </w:rPr>
            </w:pPr>
          </w:p>
        </w:tc>
      </w:tr>
      <w:tr w:rsidR="002A7E5A" w:rsidTr="4A84CD58" w14:paraId="6E12609E" w14:textId="77777777">
        <w:tc>
          <w:tcPr>
            <w:tcW w:w="2694" w:type="dxa"/>
            <w:tcMar/>
            <w:vAlign w:val="center"/>
          </w:tcPr>
          <w:p w:rsidR="002A7E5A" w:rsidRDefault="00900C76" w14:paraId="6E1260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643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="002A7E5A" w:rsidRDefault="002B651C" w14:paraId="6E12609D" w14:textId="749C0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  <w:lang w:val="en-US"/>
              </w:rPr>
              <w:t>Prof. dr hab</w:t>
            </w:r>
            <w:r w:rsidRPr="002B651C">
              <w:rPr>
                <w:rFonts w:ascii="Corbel" w:hAnsi="Corbel" w:eastAsia="Corbel" w:cs="Corbel"/>
                <w:color w:val="000000"/>
                <w:sz w:val="24"/>
                <w:szCs w:val="24"/>
                <w:lang w:val="en-US"/>
              </w:rPr>
              <w:t xml:space="preserve">. n. med. </w:t>
            </w:r>
            <w:r w:rsidR="00900C76">
              <w:rPr>
                <w:rFonts w:ascii="Corbel" w:hAnsi="Corbel" w:eastAsia="Corbel" w:cs="Corbel"/>
                <w:color w:val="000000"/>
                <w:sz w:val="24"/>
                <w:szCs w:val="24"/>
              </w:rPr>
              <w:t>Romuald Krajewski</w:t>
            </w:r>
          </w:p>
        </w:tc>
      </w:tr>
    </w:tbl>
    <w:p w:rsidR="002A7E5A" w:rsidRDefault="00900C76" w14:paraId="6E12609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before="280" w:after="28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* 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>-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opcjonalni</w:t>
      </w:r>
      <w:r>
        <w:rPr>
          <w:rFonts w:ascii="Corbel" w:hAnsi="Corbel" w:eastAsia="Corbel" w:cs="Corbel"/>
          <w:color w:val="000000"/>
          <w:sz w:val="24"/>
          <w:szCs w:val="24"/>
        </w:rPr>
        <w:t>e,</w:t>
      </w:r>
      <w:r>
        <w:rPr>
          <w:rFonts w:ascii="Corbel" w:hAnsi="Corbel" w:eastAsia="Corbel" w:cs="Corbel"/>
          <w:b/>
          <w:i/>
          <w:color w:val="000000"/>
          <w:sz w:val="24"/>
          <w:szCs w:val="24"/>
        </w:rPr>
        <w:t xml:space="preserve"> </w:t>
      </w:r>
      <w:r>
        <w:rPr>
          <w:rFonts w:ascii="Corbel" w:hAnsi="Corbel" w:eastAsia="Corbel" w:cs="Corbel"/>
          <w:i/>
          <w:color w:val="000000"/>
          <w:sz w:val="24"/>
          <w:szCs w:val="24"/>
        </w:rPr>
        <w:t>zgodnie z ustaleniami w Jednostce</w:t>
      </w:r>
    </w:p>
    <w:p w:rsidR="002A7E5A" w:rsidRDefault="002A7E5A" w14:paraId="6E1260A0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900C76" w14:paraId="6E1260A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1.1.Formy zajęć dydaktycznych, wymiar godzin i punktów ECTS </w:t>
      </w:r>
    </w:p>
    <w:p w:rsidR="002A7E5A" w:rsidRDefault="002A7E5A" w14:paraId="6E1260A2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b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83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="002A7E5A" w:rsidTr="00D6472F" w14:paraId="6E1260AE" w14:textId="77777777"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2A7E5A" w:rsidRDefault="00900C76" w14:paraId="6E1260A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Semestr</w:t>
            </w:r>
          </w:p>
          <w:p w:rsidR="002A7E5A" w:rsidRDefault="00900C76" w14:paraId="6E1260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(nr)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Wykł.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Konw.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Lab.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Sem.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ZP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Prakt.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(jakie?)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A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Liczba pkt. ECTS</w:t>
            </w:r>
          </w:p>
        </w:tc>
      </w:tr>
      <w:tr w:rsidR="002A7E5A" w:rsidTr="00D6472F" w14:paraId="6E1260B9" w14:textId="77777777">
        <w:trPr>
          <w:trHeight w:val="453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2A7E5A" w:rsidRDefault="00900C76" w14:paraId="6E1260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7" w14:textId="7A065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D6472F">
              <w:rPr>
                <w:rFonts w:ascii="Corbel" w:hAnsi="Corbel" w:eastAsia="Corbel" w:cs="Corbel"/>
                <w:sz w:val="24"/>
                <w:szCs w:val="24"/>
              </w:rPr>
              <w:t>35 (Sk)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2A7E5A" w:rsidRDefault="00900C76" w14:paraId="6E1260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</w:t>
            </w:r>
          </w:p>
        </w:tc>
      </w:tr>
    </w:tbl>
    <w:p w:rsidR="002A7E5A" w:rsidRDefault="002A7E5A" w14:paraId="6E1260B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2A7E5A" w14:paraId="6E1260B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0B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284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1.2.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Sposób realizacji zajęć  </w:t>
      </w:r>
    </w:p>
    <w:p w:rsidR="002A7E5A" w:rsidRDefault="00900C76" w14:paraId="6E1260B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b/>
          <w:smallCaps/>
          <w:color w:val="000000"/>
          <w:sz w:val="24"/>
          <w:szCs w:val="24"/>
        </w:rPr>
        <w:t>☒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zajęcia w formie tradycyjnej </w:t>
      </w:r>
    </w:p>
    <w:p w:rsidR="002A7E5A" w:rsidRDefault="00900C76" w14:paraId="6E1260BE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MS Gothic" w:hAnsi="MS Gothic" w:eastAsia="MS Gothic" w:cs="MS Gothic"/>
          <w:b/>
          <w:smallCaps/>
          <w:color w:val="000000"/>
          <w:sz w:val="24"/>
          <w:szCs w:val="24"/>
        </w:rPr>
        <w:t>☒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zajęcia realizowane z wykorzystaniem metod i technik kształcenia na odległość</w:t>
      </w:r>
    </w:p>
    <w:p w:rsidR="002A7E5A" w:rsidRDefault="002A7E5A" w14:paraId="6E1260BF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900C76" w14:paraId="6E1260C0" w14:textId="26B53BE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709" w:hanging="425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1.3 </w:t>
      </w:r>
      <w:r>
        <w:rPr>
          <w:rFonts w:ascii="Corbel" w:hAnsi="Corbel" w:eastAsia="Corbel" w:cs="Corbel"/>
          <w:b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Forma zaliczenia przedmiotu (z toku) </w:t>
      </w:r>
      <w:r>
        <w:rPr>
          <w:rFonts w:ascii="Corbel" w:hAnsi="Corbel" w:eastAsia="Corbel" w:cs="Corbel"/>
          <w:color w:val="000000"/>
          <w:sz w:val="24"/>
          <w:szCs w:val="24"/>
        </w:rPr>
        <w:t>(egzamin, zaliczenie z oceną, zaliczenie bez oceny)</w:t>
      </w:r>
    </w:p>
    <w:p w:rsidR="002A7E5A" w:rsidRDefault="00900C76" w14:paraId="6E1260C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smallCaps/>
          <w:color w:val="000000"/>
          <w:sz w:val="24"/>
          <w:szCs w:val="24"/>
        </w:rPr>
        <w:tab/>
      </w:r>
    </w:p>
    <w:p w:rsidR="002A7E5A" w:rsidRDefault="00900C76" w14:paraId="6E1260C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  <w:u w:val="single"/>
        </w:rPr>
      </w:pPr>
      <w:r>
        <w:rPr>
          <w:rFonts w:ascii="Corbel" w:hAnsi="Corbel" w:eastAsia="Corbel" w:cs="Corbel"/>
          <w:smallCaps/>
          <w:color w:val="000000"/>
          <w:sz w:val="24"/>
          <w:szCs w:val="24"/>
        </w:rPr>
        <w:tab/>
      </w:r>
      <w:r>
        <w:rPr>
          <w:rFonts w:ascii="Corbel" w:hAnsi="Corbel" w:eastAsia="Corbel" w:cs="Corbel"/>
          <w:b/>
          <w:color w:val="000000"/>
          <w:sz w:val="24"/>
          <w:szCs w:val="24"/>
          <w:u w:val="single"/>
        </w:rPr>
        <w:t>zaliczenie z oceną</w:t>
      </w:r>
    </w:p>
    <w:p w:rsidR="002A7E5A" w:rsidRDefault="002A7E5A" w14:paraId="6E1260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2A7E5A" w:rsidRDefault="00900C76" w14:paraId="6E1260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 xml:space="preserve">2.Wymagania wstępne </w:t>
      </w:r>
    </w:p>
    <w:tbl>
      <w:tblPr>
        <w:tblStyle w:val="ac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A7E5A" w14:paraId="6E1260C6" w14:textId="77777777">
        <w:tc>
          <w:tcPr>
            <w:tcW w:w="9520" w:type="dxa"/>
          </w:tcPr>
          <w:p w:rsidR="002A7E5A" w:rsidRDefault="00900C76" w14:paraId="6E1260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Nie ma</w:t>
            </w:r>
          </w:p>
        </w:tc>
      </w:tr>
    </w:tbl>
    <w:p w:rsidR="002A7E5A" w:rsidRDefault="002A7E5A" w14:paraId="6E1260C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2A7E5A" w:rsidRDefault="00900C76" w14:paraId="6E1260C8" w14:textId="642E3A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b/>
          <w:smallCaps/>
          <w:color w:val="000000"/>
          <w:sz w:val="24"/>
          <w:szCs w:val="24"/>
        </w:rPr>
        <w:t>3. cele, efekty uczenia się, treści Programowe i stosowane metody Dydaktyczne</w:t>
      </w:r>
    </w:p>
    <w:p w:rsidR="002A7E5A" w:rsidRDefault="002A7E5A" w14:paraId="6E1260C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</w:p>
    <w:p w:rsidR="002A7E5A" w:rsidRDefault="00900C76" w14:paraId="6E1260C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3.1 Cele przedmiotu</w:t>
      </w:r>
    </w:p>
    <w:p w:rsidR="002A7E5A" w:rsidRDefault="002A7E5A" w14:paraId="6E1260C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-5814"/>
        </w:tabs>
        <w:spacing w:after="0" w:line="240" w:lineRule="auto"/>
        <w:ind w:left="360"/>
        <w:jc w:val="both"/>
        <w:rPr>
          <w:rFonts w:ascii="Corbel" w:hAnsi="Corbel" w:eastAsia="Corbel" w:cs="Corbel"/>
          <w:i/>
          <w:color w:val="000000"/>
          <w:sz w:val="24"/>
          <w:szCs w:val="24"/>
        </w:rPr>
      </w:pPr>
    </w:p>
    <w:tbl>
      <w:tblPr>
        <w:tblStyle w:val="ad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843"/>
        <w:gridCol w:w="8677"/>
      </w:tblGrid>
      <w:tr w:rsidR="002A7E5A" w14:paraId="6E1260CE" w14:textId="77777777">
        <w:tc>
          <w:tcPr>
            <w:tcW w:w="843" w:type="dxa"/>
            <w:vAlign w:val="center"/>
          </w:tcPr>
          <w:p w:rsidR="002A7E5A" w:rsidRDefault="00900C76" w14:paraId="6E1260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C1 </w:t>
            </w:r>
          </w:p>
        </w:tc>
        <w:tc>
          <w:tcPr>
            <w:tcW w:w="8677" w:type="dxa"/>
            <w:vAlign w:val="center"/>
          </w:tcPr>
          <w:p w:rsidR="002A7E5A" w:rsidRDefault="00900C76" w14:paraId="6E1260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Przygotowanie studenta do interpretowania i rozumienia wiedzy dotyczącej wybranych teorii etycznych, znaczenia etyki w medycynie i innych naukach medycznych.</w:t>
            </w:r>
          </w:p>
        </w:tc>
      </w:tr>
      <w:tr w:rsidR="002A7E5A" w14:paraId="6E1260D1" w14:textId="77777777">
        <w:tc>
          <w:tcPr>
            <w:tcW w:w="843" w:type="dxa"/>
            <w:vAlign w:val="center"/>
          </w:tcPr>
          <w:p w:rsidR="002A7E5A" w:rsidRDefault="00900C76" w14:paraId="6E1260C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  <w:tab w:val="left" w:pos="720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C2</w:t>
            </w:r>
          </w:p>
        </w:tc>
        <w:tc>
          <w:tcPr>
            <w:tcW w:w="8677" w:type="dxa"/>
            <w:vAlign w:val="center"/>
          </w:tcPr>
          <w:p w:rsidR="002A7E5A" w:rsidRDefault="00900C76" w14:paraId="6E1260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Uzyskanie umiejętności rozpoznawania dylematów etycznych współczesnej ochrony zdrowia i etycznych aspektów pracy ratownika medycznego.</w:t>
            </w:r>
          </w:p>
        </w:tc>
      </w:tr>
      <w:tr w:rsidR="002A7E5A" w14:paraId="6E1260D4" w14:textId="77777777">
        <w:tc>
          <w:tcPr>
            <w:tcW w:w="843" w:type="dxa"/>
            <w:vAlign w:val="center"/>
          </w:tcPr>
          <w:p w:rsidR="002A7E5A" w:rsidRDefault="00900C76" w14:paraId="6E1260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C3</w:t>
            </w:r>
          </w:p>
        </w:tc>
        <w:tc>
          <w:tcPr>
            <w:tcW w:w="8677" w:type="dxa"/>
            <w:vAlign w:val="center"/>
          </w:tcPr>
          <w:p w:rsidR="002A7E5A" w:rsidRDefault="00900C76" w14:paraId="6E1260D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814"/>
              </w:tabs>
              <w:spacing w:before="40" w:after="4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Przygotowanie studenta do rozróżniania etycznych i nieetycznych zachowań pracowników ochrony zdrowia, wybierania zachowań etycznych w stosunku do pacjentów i współpracowników oraz do rozwiązywania dylematów moralnych.</w:t>
            </w:r>
          </w:p>
        </w:tc>
      </w:tr>
    </w:tbl>
    <w:p w:rsidR="002A7E5A" w:rsidRDefault="002A7E5A" w14:paraId="6E1260D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0D6" w14:textId="77777777">
      <w:pPr>
        <w:spacing w:after="0" w:line="240" w:lineRule="auto"/>
        <w:ind w:left="426"/>
        <w:rPr>
          <w:rFonts w:ascii="Corbel" w:hAnsi="Corbel" w:eastAsia="Corbel" w:cs="Corbel"/>
          <w:sz w:val="24"/>
          <w:szCs w:val="24"/>
        </w:rPr>
      </w:pPr>
      <w:r>
        <w:rPr>
          <w:rFonts w:ascii="Corbel" w:hAnsi="Corbel" w:eastAsia="Corbel" w:cs="Corbel"/>
          <w:b/>
          <w:sz w:val="24"/>
          <w:szCs w:val="24"/>
        </w:rPr>
        <w:t>3.2 Efekty uczenia się dla przedmiotu</w:t>
      </w:r>
      <w:r>
        <w:rPr>
          <w:rFonts w:ascii="Corbel" w:hAnsi="Corbel" w:eastAsia="Corbel" w:cs="Corbel"/>
          <w:sz w:val="24"/>
          <w:szCs w:val="24"/>
        </w:rPr>
        <w:t xml:space="preserve"> </w:t>
      </w:r>
    </w:p>
    <w:p w:rsidR="002A7E5A" w:rsidRDefault="002A7E5A" w14:paraId="6E1260D7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tbl>
      <w:tblPr>
        <w:tblStyle w:val="ae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5975"/>
        <w:gridCol w:w="1865"/>
      </w:tblGrid>
      <w:tr w:rsidR="002A7E5A" w14:paraId="6E1260DB" w14:textId="77777777">
        <w:tc>
          <w:tcPr>
            <w:tcW w:w="1680" w:type="dxa"/>
            <w:vAlign w:val="center"/>
          </w:tcPr>
          <w:p w:rsidR="002A7E5A" w:rsidRDefault="00900C76" w14:paraId="6E1260D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EK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(efekt uczenia się)</w:t>
            </w:r>
          </w:p>
        </w:tc>
        <w:tc>
          <w:tcPr>
            <w:tcW w:w="5975" w:type="dxa"/>
            <w:vAlign w:val="center"/>
          </w:tcPr>
          <w:p w:rsidR="002A7E5A" w:rsidRDefault="00900C76" w14:paraId="6E1260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Treść efektu uczenia się zdefiniowanego dla przedmiotu </w:t>
            </w:r>
          </w:p>
        </w:tc>
        <w:tc>
          <w:tcPr>
            <w:tcW w:w="1865" w:type="dxa"/>
            <w:vAlign w:val="center"/>
          </w:tcPr>
          <w:p w:rsidR="002A7E5A" w:rsidRDefault="00900C76" w14:paraId="6E1260D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Odniesienie do efektów  kierunkowych 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2A7E5A" w14:paraId="6E1260DF" w14:textId="77777777">
        <w:tc>
          <w:tcPr>
            <w:tcW w:w="1680" w:type="dxa"/>
          </w:tcPr>
          <w:p w:rsidR="002A7E5A" w:rsidRDefault="00900C76" w14:paraId="6E1260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1</w:t>
            </w:r>
          </w:p>
        </w:tc>
        <w:tc>
          <w:tcPr>
            <w:tcW w:w="5975" w:type="dxa"/>
          </w:tcPr>
          <w:p w:rsidRPr="00722EB1" w:rsidR="002A7E5A" w:rsidRDefault="00722EB1" w14:paraId="6E1260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722EB1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podstawowe pojęcia, teorie i zasady etyczne służące jako ogólne ramy właściwego interpretowania i analizowania zagadnień moralno-medycznych</w:t>
            </w:r>
            <w:r w:rsidRPr="00722EB1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2A7E5A" w:rsidRDefault="00722EB1" w14:paraId="6E1260D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B.W17</w:t>
            </w:r>
          </w:p>
        </w:tc>
      </w:tr>
      <w:tr w:rsidR="002A7E5A" w14:paraId="6E1260E3" w14:textId="77777777">
        <w:tc>
          <w:tcPr>
            <w:tcW w:w="1680" w:type="dxa"/>
          </w:tcPr>
          <w:p w:rsidR="002A7E5A" w:rsidRDefault="00900C76" w14:paraId="6E1260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2</w:t>
            </w:r>
          </w:p>
        </w:tc>
        <w:tc>
          <w:tcPr>
            <w:tcW w:w="5975" w:type="dxa"/>
          </w:tcPr>
          <w:p w:rsidRPr="00722EB1" w:rsidR="002A7E5A" w:rsidRDefault="00722EB1" w14:paraId="6E1260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722EB1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przedmiot etyki ogólnej i zawodowej</w:t>
            </w:r>
            <w:r w:rsidRPr="00722EB1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2A7E5A" w:rsidRDefault="00722EB1" w14:paraId="6E1260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B.W21</w:t>
            </w:r>
          </w:p>
        </w:tc>
      </w:tr>
      <w:tr w:rsidR="002A7E5A" w14:paraId="6E1260E7" w14:textId="77777777">
        <w:tc>
          <w:tcPr>
            <w:tcW w:w="1680" w:type="dxa"/>
          </w:tcPr>
          <w:p w:rsidR="002A7E5A" w:rsidRDefault="00900C76" w14:paraId="6E1260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3</w:t>
            </w:r>
          </w:p>
        </w:tc>
        <w:tc>
          <w:tcPr>
            <w:tcW w:w="5975" w:type="dxa"/>
          </w:tcPr>
          <w:p w:rsidRPr="00722EB1" w:rsidR="002A7E5A" w:rsidRDefault="00722EB1" w14:paraId="6E1260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722EB1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istotę podejmowania decyzji etycznych i zasady rozwiązywania dylematów moralnych w pracy ratownika medycznego</w:t>
            </w:r>
            <w:r w:rsidRPr="00722EB1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2A7E5A" w:rsidRDefault="00722EB1" w14:paraId="6E1260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B.W22</w:t>
            </w:r>
          </w:p>
        </w:tc>
      </w:tr>
      <w:tr w:rsidR="002A7E5A" w14:paraId="6E1260EB" w14:textId="77777777">
        <w:tc>
          <w:tcPr>
            <w:tcW w:w="1680" w:type="dxa"/>
          </w:tcPr>
          <w:p w:rsidR="002A7E5A" w:rsidRDefault="00900C76" w14:paraId="6E1260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EK_0</w:t>
            </w:r>
            <w:r>
              <w:rPr>
                <w:rFonts w:ascii="Corbel" w:hAnsi="Corbel" w:eastAsia="Corbel" w:cs="Corbel"/>
                <w:sz w:val="24"/>
                <w:szCs w:val="24"/>
              </w:rPr>
              <w:t>4</w:t>
            </w:r>
          </w:p>
        </w:tc>
        <w:tc>
          <w:tcPr>
            <w:tcW w:w="5975" w:type="dxa"/>
          </w:tcPr>
          <w:p w:rsidRPr="00722EB1" w:rsidR="002A7E5A" w:rsidRDefault="00722EB1" w14:paraId="6E1260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00722EB1">
              <w:rPr>
                <w:rStyle w:val="normaltextrun"/>
                <w:rFonts w:ascii="Corbel" w:hAnsi="Corbel"/>
                <w:color w:val="000000"/>
                <w:sz w:val="24"/>
                <w:shd w:val="clear" w:color="auto" w:fill="FFFFFF"/>
              </w:rPr>
              <w:t>aspekty prawne, organizacyjne, etyczne i społeczne przeszczepiania tkanek, komórek i narządów</w:t>
            </w:r>
            <w:r w:rsidRPr="00722EB1">
              <w:rPr>
                <w:rStyle w:val="eop"/>
                <w:rFonts w:ascii="Corbel" w:hAnsi="Corbel"/>
                <w:color w:val="000000"/>
                <w:sz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="002A7E5A" w:rsidRDefault="00722EB1" w14:paraId="6E1260E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B.W38</w:t>
            </w:r>
          </w:p>
        </w:tc>
      </w:tr>
    </w:tbl>
    <w:p w:rsidR="002A7E5A" w:rsidRDefault="002A7E5A" w14:paraId="6E1260EC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</w:p>
    <w:p w:rsidR="002A7E5A" w:rsidRDefault="00900C76" w14:paraId="6E1260E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3.3 Treści programowe 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 </w:t>
      </w:r>
    </w:p>
    <w:p w:rsidR="002A7E5A" w:rsidRDefault="00900C76" w14:paraId="6E1260EE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wykładu </w:t>
      </w:r>
    </w:p>
    <w:p w:rsidR="002A7E5A" w:rsidRDefault="002A7E5A" w14:paraId="6E1260EF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080"/>
        <w:jc w:val="both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A7E5A" w14:paraId="6E1260F1" w14:textId="77777777">
        <w:tc>
          <w:tcPr>
            <w:tcW w:w="9520" w:type="dxa"/>
          </w:tcPr>
          <w:p w:rsidR="002A7E5A" w:rsidRDefault="00900C76" w14:paraId="6E1260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50" w:firstLine="250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Treści merytoryczne</w:t>
            </w:r>
          </w:p>
        </w:tc>
      </w:tr>
      <w:tr w:rsidR="002A7E5A" w14:paraId="6E1260F3" w14:textId="77777777">
        <w:tc>
          <w:tcPr>
            <w:tcW w:w="9520" w:type="dxa"/>
            <w:vAlign w:val="center"/>
          </w:tcPr>
          <w:p w:rsidR="002A7E5A" w:rsidRDefault="00900C76" w14:paraId="6E1260F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Problemy bioetyczne współczesnych społeczeństw </w:t>
            </w:r>
          </w:p>
        </w:tc>
      </w:tr>
      <w:tr w:rsidR="002A7E5A" w14:paraId="6E1260F5" w14:textId="77777777">
        <w:tc>
          <w:tcPr>
            <w:tcW w:w="9520" w:type="dxa"/>
            <w:vAlign w:val="center"/>
          </w:tcPr>
          <w:p w:rsidR="002A7E5A" w:rsidRDefault="00900C76" w14:paraId="6E1260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Obszar zainteresowań etyki; najbardziej znane przypadki problemów etycznych w praktyce medycznej</w:t>
            </w:r>
          </w:p>
        </w:tc>
      </w:tr>
      <w:tr w:rsidR="002A7E5A" w14:paraId="6E1260F7" w14:textId="77777777">
        <w:tc>
          <w:tcPr>
            <w:tcW w:w="9520" w:type="dxa"/>
            <w:vAlign w:val="center"/>
          </w:tcPr>
          <w:p w:rsidR="002A7E5A" w:rsidRDefault="00900C76" w14:paraId="6E1260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Wybrane teorie i systemy etyczne </w:t>
            </w:r>
          </w:p>
        </w:tc>
      </w:tr>
      <w:tr w:rsidR="002A7E5A" w14:paraId="6E1260F9" w14:textId="77777777">
        <w:tc>
          <w:tcPr>
            <w:tcW w:w="9520" w:type="dxa"/>
            <w:vAlign w:val="center"/>
          </w:tcPr>
          <w:p w:rsidR="002A7E5A" w:rsidRDefault="00900C76" w14:paraId="6E1260F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Etyka w ochronie zdrowia; kodeksy etyczne pracowników medycznych; Kodeks Etyki Zawodowej Ratownika Medycznego </w:t>
            </w:r>
          </w:p>
        </w:tc>
      </w:tr>
      <w:tr w:rsidR="002A7E5A" w14:paraId="6E1260FB" w14:textId="77777777">
        <w:tc>
          <w:tcPr>
            <w:tcW w:w="9520" w:type="dxa"/>
            <w:vAlign w:val="center"/>
          </w:tcPr>
          <w:p w:rsidR="002A7E5A" w:rsidRDefault="00900C76" w14:paraId="6E1260F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Dylematy etyczne w pracy ratowników i we współczesnym ratownictwie medycznym; etyczne aspekty relacji między ratownikiem a pacjentem i jego rodziną; etyczne aspekty relacji między pracownikami medycznymi</w:t>
            </w:r>
          </w:p>
        </w:tc>
      </w:tr>
      <w:tr w:rsidR="002A7E5A" w14:paraId="6E1260FD" w14:textId="77777777">
        <w:tc>
          <w:tcPr>
            <w:tcW w:w="9520" w:type="dxa"/>
            <w:vAlign w:val="center"/>
          </w:tcPr>
          <w:p w:rsidR="002A7E5A" w:rsidRDefault="00900C76" w14:paraId="6E1260F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Prawa pacjenta</w:t>
            </w:r>
          </w:p>
        </w:tc>
      </w:tr>
      <w:tr w:rsidR="002A7E5A" w14:paraId="6E1260FF" w14:textId="77777777">
        <w:tc>
          <w:tcPr>
            <w:tcW w:w="9520" w:type="dxa"/>
            <w:vAlign w:val="center"/>
          </w:tcPr>
          <w:p w:rsidR="002A7E5A" w:rsidRDefault="00900C76" w14:paraId="6E1260F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Odpowiedzialność moralna ratownika medycznego; relacje miedzy etyką a prawem; charakter i rola różnych trybów odpowiedzialności za niewłaściwe wykonywanie zawodu ratownika medycznego  </w:t>
            </w:r>
          </w:p>
        </w:tc>
      </w:tr>
      <w:tr w:rsidR="002A7E5A" w14:paraId="6E126101" w14:textId="77777777">
        <w:tc>
          <w:tcPr>
            <w:tcW w:w="9520" w:type="dxa"/>
            <w:vAlign w:val="center"/>
          </w:tcPr>
          <w:p w:rsidR="002A7E5A" w:rsidRDefault="00900C76" w14:paraId="6E12610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Problemy etyczne w praktyce medycznej – rozpoznawanie i rozwiązywanie </w:t>
            </w:r>
          </w:p>
        </w:tc>
      </w:tr>
    </w:tbl>
    <w:p w:rsidR="002A7E5A" w:rsidRDefault="002A7E5A" w14:paraId="6E126102" w14:textId="77777777">
      <w:pPr>
        <w:spacing w:after="0" w:line="240" w:lineRule="auto"/>
        <w:rPr>
          <w:rFonts w:ascii="Corbel" w:hAnsi="Corbel" w:eastAsia="Corbel" w:cs="Corbel"/>
          <w:sz w:val="24"/>
          <w:szCs w:val="24"/>
        </w:rPr>
      </w:pPr>
    </w:p>
    <w:p w:rsidR="002A7E5A" w:rsidRDefault="00900C76" w14:paraId="6E12610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 xml:space="preserve">Problematyka ćwiczeń audytoryjnych, konwersatoryjnych, laboratoryjnych, zajęć praktycznych </w:t>
      </w:r>
    </w:p>
    <w:p w:rsidR="002A7E5A" w:rsidRDefault="002A7E5A" w14:paraId="6E126104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0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smallCaps/>
          <w:sz w:val="24"/>
          <w:szCs w:val="24"/>
        </w:rPr>
        <w:t>nie dotyczy</w:t>
      </w:r>
    </w:p>
    <w:p w:rsidR="002A7E5A" w:rsidRDefault="002A7E5A" w14:paraId="6E126106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900C76" w14:paraId="6E126107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3.4 Metody dydaktyczne</w:t>
      </w:r>
      <w:r>
        <w:rPr>
          <w:rFonts w:ascii="Corbel" w:hAnsi="Corbel" w:eastAsia="Corbel" w:cs="Corbel"/>
          <w:color w:val="000000"/>
          <w:sz w:val="24"/>
          <w:szCs w:val="24"/>
        </w:rPr>
        <w:t xml:space="preserve"> </w:t>
      </w:r>
    </w:p>
    <w:p w:rsidR="002A7E5A" w:rsidRDefault="002A7E5A" w14:paraId="6E12610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2A7E5A" w14:paraId="6E12610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orbel" w:hAnsi="Corbel" w:eastAsia="Corbel" w:cs="Corbel"/>
          <w:i/>
          <w:color w:val="000000"/>
          <w:sz w:val="20"/>
          <w:szCs w:val="20"/>
        </w:rPr>
      </w:pPr>
    </w:p>
    <w:p w:rsidR="002A7E5A" w:rsidRDefault="00900C76" w14:paraId="6E12610B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Wykład problemowy z prezentacją multimedialną, metody kształcenia na odległość, analiza przypadków z dyskusją, dyskusja dydaktyczna i inne metody aktywizujące</w:t>
      </w:r>
    </w:p>
    <w:p w:rsidR="002A7E5A" w:rsidRDefault="002A7E5A" w14:paraId="6E12610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2A7E5A" w14:paraId="6E12610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900C76" w14:paraId="6E12610E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 METODY I KRYTERIA OCENY </w:t>
      </w:r>
    </w:p>
    <w:p w:rsidR="002A7E5A" w:rsidRDefault="002A7E5A" w14:paraId="6E12610F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p w:rsidR="002A7E5A" w:rsidRDefault="00900C76" w14:paraId="6E12611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4.1 Sposoby weryfikacji efektów uczenia się</w:t>
      </w:r>
    </w:p>
    <w:p w:rsidR="002A7E5A" w:rsidRDefault="002A7E5A" w14:paraId="6E12611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0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62"/>
        <w:gridCol w:w="5441"/>
        <w:gridCol w:w="2117"/>
      </w:tblGrid>
      <w:tr w:rsidR="002A7E5A" w14:paraId="6E126117" w14:textId="77777777">
        <w:tc>
          <w:tcPr>
            <w:tcW w:w="1962" w:type="dxa"/>
            <w:vAlign w:val="center"/>
          </w:tcPr>
          <w:p w:rsidR="002A7E5A" w:rsidRDefault="00900C76" w14:paraId="6E1261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Symbol efektu</w:t>
            </w:r>
          </w:p>
        </w:tc>
        <w:tc>
          <w:tcPr>
            <w:tcW w:w="5441" w:type="dxa"/>
            <w:vAlign w:val="center"/>
          </w:tcPr>
          <w:p w:rsidR="002A7E5A" w:rsidRDefault="00900C76" w14:paraId="6E1261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Metody oceny efektów uczenia się</w:t>
            </w:r>
          </w:p>
          <w:p w:rsidR="002A7E5A" w:rsidRDefault="00900C76" w14:paraId="6E12611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(np.: kolokwium, egzamin ustny, egzamin pisemny, projekt, sprawozdanie, obserwacja w trakcie zajęć)</w:t>
            </w:r>
          </w:p>
        </w:tc>
        <w:tc>
          <w:tcPr>
            <w:tcW w:w="2117" w:type="dxa"/>
            <w:vAlign w:val="center"/>
          </w:tcPr>
          <w:p w:rsidR="002A7E5A" w:rsidRDefault="00900C76" w14:paraId="6E12611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Forma zajęć dydaktycznych </w:t>
            </w:r>
          </w:p>
          <w:p w:rsidR="002A7E5A" w:rsidRDefault="00900C76" w14:paraId="6E1261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(w, ćw, …)</w:t>
            </w:r>
          </w:p>
        </w:tc>
      </w:tr>
      <w:tr w:rsidR="002A7E5A" w14:paraId="6E12611B" w14:textId="77777777">
        <w:tc>
          <w:tcPr>
            <w:tcW w:w="1962" w:type="dxa"/>
          </w:tcPr>
          <w:p w:rsidR="002A7E5A" w:rsidRDefault="00BD48F4" w14:paraId="6E1261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EK_ 01 - EK_04</w:t>
            </w:r>
          </w:p>
        </w:tc>
        <w:tc>
          <w:tcPr>
            <w:tcW w:w="5441" w:type="dxa"/>
          </w:tcPr>
          <w:p w:rsidR="002A7E5A" w:rsidRDefault="00900C76" w14:paraId="6E126119" w14:textId="0C80FF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Kolokwium zaliczeniowe, forma </w:t>
            </w:r>
            <w:r w:rsidR="009D6D0D">
              <w:rPr>
                <w:rFonts w:ascii="Corbel" w:hAnsi="Corbel" w:eastAsia="Corbel" w:cs="Corbel"/>
                <w:color w:val="000000"/>
                <w:sz w:val="24"/>
                <w:szCs w:val="24"/>
              </w:rPr>
              <w:t>ustna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, obserwacja w czasie zajęć</w:t>
            </w:r>
          </w:p>
        </w:tc>
        <w:tc>
          <w:tcPr>
            <w:tcW w:w="2117" w:type="dxa"/>
          </w:tcPr>
          <w:p w:rsidR="002A7E5A" w:rsidRDefault="00900C76" w14:paraId="6E12611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  <w:t>W</w:t>
            </w:r>
          </w:p>
        </w:tc>
      </w:tr>
      <w:tr w:rsidR="002A7E5A" w14:paraId="6E12611F" w14:textId="77777777">
        <w:tc>
          <w:tcPr>
            <w:tcW w:w="1962" w:type="dxa"/>
          </w:tcPr>
          <w:p w:rsidR="002A7E5A" w:rsidRDefault="002A7E5A" w14:paraId="6E12611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5441" w:type="dxa"/>
          </w:tcPr>
          <w:p w:rsidR="002A7E5A" w:rsidRDefault="002A7E5A" w14:paraId="6E1261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</w:tcPr>
          <w:p w:rsidR="002A7E5A" w:rsidRDefault="002A7E5A" w14:paraId="6E1261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smallCaps/>
                <w:color w:val="000000"/>
                <w:sz w:val="24"/>
                <w:szCs w:val="24"/>
              </w:rPr>
            </w:pPr>
          </w:p>
        </w:tc>
      </w:tr>
    </w:tbl>
    <w:p w:rsidR="002A7E5A" w:rsidRDefault="002A7E5A" w14:paraId="6E12612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2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4.2 Warunki zaliczenia przedmiotu (kryteria oceniania) </w:t>
      </w:r>
    </w:p>
    <w:p w:rsidR="002A7E5A" w:rsidRDefault="002A7E5A" w14:paraId="6E12612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1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520"/>
      </w:tblGrid>
      <w:tr w:rsidR="002A7E5A" w14:paraId="6E12612F" w14:textId="77777777">
        <w:tc>
          <w:tcPr>
            <w:tcW w:w="9520" w:type="dxa"/>
          </w:tcPr>
          <w:p w:rsidR="002A7E5A" w:rsidRDefault="00900C76" w14:paraId="6E1261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Wykłady (EK_01 - EK_16):</w:t>
            </w:r>
          </w:p>
          <w:p w:rsidR="002A7E5A" w:rsidRDefault="00900C76" w14:paraId="6E12612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Obecność na wykładach jest obowiązkowa. W przypadku nieusprawiedliwionej nieobecności tematy omawiane na tych wykładach należy zaliczyć w formie pracy pisemnej. Warunkiem zaliczenia jest wykazanie znajomości treści kształcenia na poziomie &gt;60%. </w:t>
            </w:r>
          </w:p>
          <w:p w:rsidR="002A7E5A" w:rsidRDefault="00900C76" w14:paraId="6E1261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Zaliczenie końcowe przedmiotu (EK_01-16):</w:t>
            </w:r>
          </w:p>
          <w:p w:rsidR="002A7E5A" w:rsidRDefault="00900C76" w14:paraId="6E126126" w14:textId="572DB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Kolokwium zaliczeniowe </w:t>
            </w:r>
            <w:r w:rsidR="009D6D0D">
              <w:rPr>
                <w:rFonts w:ascii="Corbel" w:hAnsi="Corbel" w:eastAsia="Corbel" w:cs="Corbel"/>
                <w:color w:val="000000"/>
                <w:sz w:val="24"/>
                <w:szCs w:val="24"/>
              </w:rPr>
              <w:t>ustne</w:t>
            </w: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 - omówienie wskazanego medycznego problemu etycznego z opisaniem związanych z tym problemem zagadnień etycznych (wartości, zasady, dylematy) oraz argumentacji etycznej. </w:t>
            </w:r>
          </w:p>
          <w:p w:rsidR="002A7E5A" w:rsidRDefault="00900C76" w14:paraId="6E1261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Ocena: </w:t>
            </w:r>
          </w:p>
          <w:p w:rsidR="002A7E5A" w:rsidRDefault="00900C76" w14:paraId="6E12612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5.0 – wykazuje znajomość treści kształcenia na poziomie 93%-100%</w:t>
            </w:r>
          </w:p>
          <w:p w:rsidR="002A7E5A" w:rsidRDefault="00900C76" w14:paraId="6E1261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4.5 – wykazuje znajomość treści kształcenia na poziomie 85%-92%</w:t>
            </w:r>
          </w:p>
          <w:p w:rsidR="002A7E5A" w:rsidRDefault="00900C76" w14:paraId="6E12612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4.0 – wykazuje znajomość treści kształcenia na poziomie 77%-84%</w:t>
            </w:r>
          </w:p>
          <w:p w:rsidR="002A7E5A" w:rsidRDefault="00900C76" w14:paraId="6E1261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3.5 – wykazuje znajomość treści kształcenia na poziomie 69%-76%</w:t>
            </w:r>
          </w:p>
          <w:p w:rsidR="002A7E5A" w:rsidRDefault="00900C76" w14:paraId="6E12612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3.0 – wykazuje znajomość treści kształcenia na poziomie 60%-68%</w:t>
            </w:r>
          </w:p>
          <w:p w:rsidR="002A7E5A" w:rsidRDefault="00900C76" w14:paraId="6E12612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2.0 – wykazuje znajomość treści kształcenia poniżej 60%</w:t>
            </w:r>
          </w:p>
          <w:p w:rsidR="002A7E5A" w:rsidRDefault="002A7E5A" w14:paraId="6E12612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</w:p>
        </w:tc>
      </w:tr>
    </w:tbl>
    <w:p w:rsidR="002A7E5A" w:rsidRDefault="002A7E5A" w14:paraId="6E126130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2A7E5A" w14:paraId="6E12613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3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5. CAŁKOWITY NAKŁAD PRACY STUDENTA POTRZEBNY DO OSIĄGNIĘCIA ZAŁOŻONYCH EFEKTÓW W GODZINACH ORAZ PUNKTACH ECTS </w:t>
      </w:r>
    </w:p>
    <w:p w:rsidR="002A7E5A" w:rsidRDefault="002A7E5A" w14:paraId="6E12613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tbl>
      <w:tblPr>
        <w:tblStyle w:val="af2"/>
        <w:tblW w:w="95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4902"/>
        <w:gridCol w:w="4618"/>
      </w:tblGrid>
      <w:tr w:rsidR="002A7E5A" w:rsidTr="2376BBF0" w14:paraId="6E126136" w14:textId="77777777">
        <w:tc>
          <w:tcPr>
            <w:tcW w:w="4902" w:type="dxa"/>
            <w:tcMar/>
            <w:vAlign w:val="center"/>
          </w:tcPr>
          <w:p w:rsidR="002A7E5A" w:rsidRDefault="00900C76" w14:paraId="6E12613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Forma aktywności</w:t>
            </w:r>
          </w:p>
        </w:tc>
        <w:tc>
          <w:tcPr>
            <w:tcW w:w="4618" w:type="dxa"/>
            <w:tcMar/>
            <w:vAlign w:val="center"/>
          </w:tcPr>
          <w:p w:rsidR="002A7E5A" w:rsidRDefault="00900C76" w14:paraId="6E1261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Średnia liczba godzin na zrealizowanie aktywności</w:t>
            </w:r>
          </w:p>
        </w:tc>
      </w:tr>
      <w:tr w:rsidR="002A7E5A" w:rsidTr="2376BBF0" w14:paraId="6E126139" w14:textId="77777777">
        <w:tc>
          <w:tcPr>
            <w:tcW w:w="4902" w:type="dxa"/>
            <w:tcMar/>
          </w:tcPr>
          <w:p w:rsidR="002A7E5A" w:rsidRDefault="00900C76" w14:paraId="6E1261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18" w:type="dxa"/>
            <w:tcMar/>
          </w:tcPr>
          <w:p w:rsidR="002A7E5A" w:rsidRDefault="00900C76" w14:paraId="6E1261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15</w:t>
            </w:r>
          </w:p>
        </w:tc>
      </w:tr>
      <w:tr w:rsidR="002A7E5A" w:rsidTr="2376BBF0" w14:paraId="6E12613D" w14:textId="77777777">
        <w:tc>
          <w:tcPr>
            <w:tcW w:w="4902" w:type="dxa"/>
            <w:tcMar/>
          </w:tcPr>
          <w:p w:rsidR="002A7E5A" w:rsidRDefault="00900C76" w14:paraId="6E12613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Inne z udziałem nauczyciela akademickiego</w:t>
            </w:r>
          </w:p>
          <w:p w:rsidR="002A7E5A" w:rsidRDefault="00900C76" w14:paraId="6E12613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(udział w konsultacjach, egzaminie)</w:t>
            </w:r>
          </w:p>
        </w:tc>
        <w:tc>
          <w:tcPr>
            <w:tcW w:w="4618" w:type="dxa"/>
            <w:tcMar/>
          </w:tcPr>
          <w:p w:rsidR="002A7E5A" w:rsidP="2376BBF0" w:rsidRDefault="00900C76" w14:paraId="6E12613C" w14:textId="783CC10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2376BBF0" w:rsidR="311E32AF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10</w:t>
            </w:r>
          </w:p>
        </w:tc>
      </w:tr>
      <w:tr w:rsidR="002A7E5A" w:rsidTr="2376BBF0" w14:paraId="6E126141" w14:textId="77777777">
        <w:tc>
          <w:tcPr>
            <w:tcW w:w="4902" w:type="dxa"/>
            <w:tcMar/>
          </w:tcPr>
          <w:p w:rsidR="002A7E5A" w:rsidRDefault="00900C76" w14:paraId="6E12613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Godziny niekontaktowe – praca własna studenta</w:t>
            </w:r>
          </w:p>
          <w:p w:rsidR="002A7E5A" w:rsidRDefault="00900C76" w14:paraId="6E1261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18" w:type="dxa"/>
            <w:tcMar/>
          </w:tcPr>
          <w:p w:rsidR="002A7E5A" w:rsidP="2376BBF0" w:rsidRDefault="00900C76" w14:paraId="6E126140" w14:textId="5FEFEB1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2376BBF0" w:rsidR="724FE668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2</w:t>
            </w:r>
            <w:r w:rsidRPr="2376BBF0" w:rsidR="00900C76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5</w:t>
            </w:r>
          </w:p>
        </w:tc>
      </w:tr>
      <w:tr w:rsidR="002A7E5A" w:rsidTr="2376BBF0" w14:paraId="6E126144" w14:textId="77777777">
        <w:tc>
          <w:tcPr>
            <w:tcW w:w="4902" w:type="dxa"/>
            <w:tcMar/>
          </w:tcPr>
          <w:p w:rsidR="002A7E5A" w:rsidRDefault="00900C76" w14:paraId="6E1261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SUMA GODZIN</w:t>
            </w:r>
          </w:p>
        </w:tc>
        <w:tc>
          <w:tcPr>
            <w:tcW w:w="4618" w:type="dxa"/>
            <w:tcMar/>
          </w:tcPr>
          <w:p w:rsidR="002A7E5A" w:rsidRDefault="00900C76" w14:paraId="6E12614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50</w:t>
            </w:r>
          </w:p>
        </w:tc>
      </w:tr>
      <w:tr w:rsidR="002A7E5A" w:rsidTr="2376BBF0" w14:paraId="6E126147" w14:textId="77777777">
        <w:tc>
          <w:tcPr>
            <w:tcW w:w="4902" w:type="dxa"/>
            <w:tcMar/>
          </w:tcPr>
          <w:p w:rsidR="002A7E5A" w:rsidRDefault="00900C76" w14:paraId="6E1261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b/>
                <w:color w:val="000000"/>
                <w:sz w:val="24"/>
                <w:szCs w:val="24"/>
              </w:rPr>
              <w:t>SUMARYCZNA LICZBA PUNKTÓW ECTS</w:t>
            </w:r>
          </w:p>
        </w:tc>
        <w:tc>
          <w:tcPr>
            <w:tcW w:w="4618" w:type="dxa"/>
            <w:tcMar/>
          </w:tcPr>
          <w:p w:rsidR="002A7E5A" w:rsidRDefault="00900C76" w14:paraId="6E1261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2</w:t>
            </w:r>
          </w:p>
        </w:tc>
      </w:tr>
    </w:tbl>
    <w:p w:rsidR="002A7E5A" w:rsidRDefault="00900C76" w14:paraId="6E12614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orbel" w:hAnsi="Corbel" w:eastAsia="Corbel" w:cs="Corbel"/>
          <w:i/>
          <w:color w:val="000000"/>
          <w:sz w:val="24"/>
          <w:szCs w:val="24"/>
        </w:rPr>
      </w:pPr>
      <w:r>
        <w:rPr>
          <w:rFonts w:ascii="Corbel" w:hAnsi="Corbel" w:eastAsia="Corbel" w:cs="Corbel"/>
          <w:i/>
          <w:color w:val="000000"/>
          <w:sz w:val="24"/>
          <w:szCs w:val="24"/>
        </w:rPr>
        <w:t>* Należy uwzględnić, że 1 pkt ECTS odpowiada 25-30 godzin całkowitego nakładu pracy studenta.</w:t>
      </w:r>
    </w:p>
    <w:p w:rsidR="002A7E5A" w:rsidRDefault="002A7E5A" w14:paraId="6E12614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4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>6. PRAKTYKI ZAWODOWE W RAMACH PRZEDMIOTU</w:t>
      </w:r>
    </w:p>
    <w:p w:rsidR="002A7E5A" w:rsidRDefault="002A7E5A" w14:paraId="6E12614B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3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3969"/>
      </w:tblGrid>
      <w:tr w:rsidR="002A7E5A" w:rsidTr="1BF208D8" w14:paraId="6E12614E" w14:textId="77777777">
        <w:trPr>
          <w:trHeight w:val="397"/>
        </w:trPr>
        <w:tc>
          <w:tcPr>
            <w:tcW w:w="3544" w:type="dxa"/>
            <w:tcMar/>
          </w:tcPr>
          <w:p w:rsidR="002A7E5A" w:rsidRDefault="00900C76" w14:paraId="6E1261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wymiar godzinowy</w:t>
            </w:r>
          </w:p>
        </w:tc>
        <w:tc>
          <w:tcPr>
            <w:tcW w:w="3969" w:type="dxa"/>
            <w:tcMar/>
          </w:tcPr>
          <w:p w:rsidR="002A7E5A" w:rsidP="1BF208D8" w:rsidRDefault="00900C76" w14:paraId="6E12614D" w14:textId="2B86788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1BF208D8" w:rsidR="69AE26F2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  <w:tr w:rsidR="002A7E5A" w:rsidTr="1BF208D8" w14:paraId="6E126151" w14:textId="77777777">
        <w:trPr>
          <w:trHeight w:val="397"/>
        </w:trPr>
        <w:tc>
          <w:tcPr>
            <w:tcW w:w="3544" w:type="dxa"/>
            <w:tcMar/>
          </w:tcPr>
          <w:p w:rsidR="002A7E5A" w:rsidRDefault="00900C76" w14:paraId="6E1261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zasady i formy odbywania praktyk </w:t>
            </w:r>
          </w:p>
        </w:tc>
        <w:tc>
          <w:tcPr>
            <w:tcW w:w="3969" w:type="dxa"/>
            <w:tcMar/>
          </w:tcPr>
          <w:p w:rsidR="002A7E5A" w:rsidP="1BF208D8" w:rsidRDefault="00900C76" w14:paraId="6E126150" w14:textId="1920A8F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 w:rsidRPr="1BF208D8" w:rsidR="17F7FD83">
              <w:rPr>
                <w:rFonts w:ascii="Corbel" w:hAnsi="Corbel" w:eastAsia="Corbel" w:cs="Corbel"/>
                <w:color w:val="000000" w:themeColor="text1" w:themeTint="FF" w:themeShade="FF"/>
                <w:sz w:val="24"/>
                <w:szCs w:val="24"/>
              </w:rPr>
              <w:t>Nie dotyczy</w:t>
            </w:r>
          </w:p>
        </w:tc>
      </w:tr>
    </w:tbl>
    <w:p w:rsidR="002A7E5A" w:rsidRDefault="002A7E5A" w14:paraId="6E12615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5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  <w:r>
        <w:rPr>
          <w:rFonts w:ascii="Corbel" w:hAnsi="Corbel" w:eastAsia="Corbel" w:cs="Corbel"/>
          <w:b/>
          <w:color w:val="000000"/>
          <w:sz w:val="24"/>
          <w:szCs w:val="24"/>
        </w:rPr>
        <w:t xml:space="preserve">7. LITERATURA </w:t>
      </w:r>
    </w:p>
    <w:p w:rsidR="002A7E5A" w:rsidRDefault="002A7E5A" w14:paraId="6E12615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orbel" w:hAnsi="Corbel" w:eastAsia="Corbel" w:cs="Corbel"/>
          <w:b/>
          <w:color w:val="000000"/>
          <w:sz w:val="24"/>
          <w:szCs w:val="24"/>
        </w:rPr>
      </w:pPr>
    </w:p>
    <w:tbl>
      <w:tblPr>
        <w:tblStyle w:val="af4"/>
        <w:tblW w:w="7513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513"/>
      </w:tblGrid>
      <w:tr w:rsidR="002A7E5A" w14:paraId="6E126159" w14:textId="77777777">
        <w:trPr>
          <w:trHeight w:val="397"/>
        </w:trPr>
        <w:tc>
          <w:tcPr>
            <w:tcW w:w="7513" w:type="dxa"/>
          </w:tcPr>
          <w:p w:rsidR="002A7E5A" w:rsidRDefault="00900C76" w14:paraId="6E1261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Literatura podstawowa:</w:t>
            </w:r>
          </w:p>
          <w:p w:rsidR="002A7E5A" w:rsidRDefault="00900C76" w14:paraId="6E126156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Dunn H.P.: Etyka dla lekarzy, pielęgniarek i pacjentów. Wydawnictwo Biblos, Tarnów, 1997.</w:t>
            </w:r>
          </w:p>
          <w:p w:rsidR="002A7E5A" w:rsidRDefault="00900C76" w14:paraId="6E126157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Kodeks Etyki Zawodowej Ratownika Medycznego (http://skrm.pl/wp-content/uploads/2012/03/Kodeks-Etyki-Ratownika-Medycznego.pdf)</w:t>
            </w:r>
          </w:p>
          <w:p w:rsidR="002A7E5A" w:rsidRDefault="00900C76" w14:paraId="6E126158" w14:textId="7777777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Łuków P., Pasierski T.: Etyka medyczna z elementami filozofii. Wydawnictwo lekarskie PZWL, Warszawa, 2014.</w:t>
            </w:r>
          </w:p>
        </w:tc>
      </w:tr>
      <w:tr w:rsidR="002A7E5A" w14:paraId="6E126160" w14:textId="77777777">
        <w:trPr>
          <w:trHeight w:val="397"/>
        </w:trPr>
        <w:tc>
          <w:tcPr>
            <w:tcW w:w="7513" w:type="dxa"/>
          </w:tcPr>
          <w:p w:rsidR="002A7E5A" w:rsidRDefault="00900C76" w14:paraId="6E1261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Literatura uzupełniająca: </w:t>
            </w:r>
          </w:p>
          <w:p w:rsidR="002A7E5A" w:rsidRDefault="00900C76" w14:paraId="6E12615B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Beauchamp T.L., Childress J.F.: Zasady etyki medycznej. Wydawnictwo Książka i Wiedza, Warszawa, 1996.</w:t>
            </w:r>
          </w:p>
          <w:p w:rsidR="002A7E5A" w:rsidRDefault="00900C76" w14:paraId="6E12615C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Biela A.(red.): Eutanazja a opieka paliatywna. Aspekty etyczne, religijne, psychologiczne i prawne. Materiały Ogólnopolskiego Sympozjum. Katolicki Uniwersytet Lubelski, Akademia Medyczna, Lublin  22-23 marca 1996.</w:t>
            </w:r>
          </w:p>
          <w:p w:rsidR="002A7E5A" w:rsidRDefault="00900C76" w14:paraId="6E12615D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Brzeziński T.: Etyka lekarska. Wydawnictwo PZWL, Warszawa 2002.</w:t>
            </w:r>
          </w:p>
          <w:p w:rsidR="002A7E5A" w:rsidRDefault="00900C76" w14:paraId="6E12615E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 xml:space="preserve">Różyńska J., Chańska W. (red.): Bioetyka, LEX, Warszawa, 2013 </w:t>
            </w:r>
          </w:p>
          <w:p w:rsidR="002A7E5A" w:rsidRDefault="00900C76" w14:paraId="6E12615F" w14:textId="777777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 w:hanging="283"/>
              <w:rPr>
                <w:rFonts w:ascii="Corbel" w:hAnsi="Corbel" w:eastAsia="Corbel" w:cs="Corbel"/>
                <w:color w:val="000000"/>
                <w:sz w:val="24"/>
                <w:szCs w:val="24"/>
              </w:rPr>
            </w:pPr>
            <w:r>
              <w:rPr>
                <w:rFonts w:ascii="Corbel" w:hAnsi="Corbel" w:eastAsia="Corbel" w:cs="Corbel"/>
                <w:color w:val="000000"/>
                <w:sz w:val="24"/>
                <w:szCs w:val="24"/>
              </w:rPr>
              <w:t>Zdrzenicka K. Etyka w medycynie: ujęcie interdyscyplinarne. MediPage, Warszawa, 2012.</w:t>
            </w:r>
          </w:p>
        </w:tc>
      </w:tr>
    </w:tbl>
    <w:p w:rsidR="002A7E5A" w:rsidRDefault="002A7E5A" w14:paraId="6E126161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2A7E5A" w14:paraId="6E126162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color w:val="000000"/>
          <w:sz w:val="24"/>
          <w:szCs w:val="24"/>
        </w:rPr>
      </w:pPr>
    </w:p>
    <w:p w:rsidR="002A7E5A" w:rsidRDefault="00900C76" w14:paraId="6E12616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Corbel" w:hAnsi="Corbel" w:eastAsia="Corbel" w:cs="Corbel"/>
          <w:b/>
          <w:smallCaps/>
          <w:color w:val="000000"/>
          <w:sz w:val="24"/>
          <w:szCs w:val="24"/>
        </w:rPr>
      </w:pPr>
      <w:r>
        <w:rPr>
          <w:rFonts w:ascii="Corbel" w:hAnsi="Corbel" w:eastAsia="Corbel" w:cs="Corbel"/>
          <w:color w:val="000000"/>
          <w:sz w:val="24"/>
          <w:szCs w:val="24"/>
        </w:rPr>
        <w:t>Akceptacja Kierownika Jednostki lub osoby upoważnionej</w:t>
      </w:r>
    </w:p>
    <w:sectPr w:rsidR="002A7E5A">
      <w:pgSz w:w="11906" w:h="16838" w:orient="portrait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6D36" w:rsidRDefault="00246D36" w14:paraId="1BB52118" w14:textId="77777777">
      <w:pPr>
        <w:spacing w:after="0" w:line="240" w:lineRule="auto"/>
      </w:pPr>
      <w:r>
        <w:separator/>
      </w:r>
    </w:p>
  </w:endnote>
  <w:endnote w:type="continuationSeparator" w:id="0">
    <w:p w:rsidR="00246D36" w:rsidRDefault="00246D36" w14:paraId="74A2576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6D36" w:rsidRDefault="00246D36" w14:paraId="0A197ACF" w14:textId="77777777">
      <w:pPr>
        <w:spacing w:after="0" w:line="240" w:lineRule="auto"/>
      </w:pPr>
      <w:r>
        <w:separator/>
      </w:r>
    </w:p>
  </w:footnote>
  <w:footnote w:type="continuationSeparator" w:id="0">
    <w:p w:rsidR="00246D36" w:rsidRDefault="00246D36" w14:paraId="3ADE5B59" w14:textId="77777777">
      <w:pPr>
        <w:spacing w:after="0" w:line="240" w:lineRule="auto"/>
      </w:pPr>
      <w:r>
        <w:continuationSeparator/>
      </w:r>
    </w:p>
  </w:footnote>
  <w:footnote w:id="1">
    <w:p w:rsidR="002A7E5A" w:rsidRDefault="00900C76" w14:paraId="6E12616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F0D"/>
    <w:multiLevelType w:val="multilevel"/>
    <w:tmpl w:val="7F7408BA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6656AB"/>
    <w:multiLevelType w:val="multilevel"/>
    <w:tmpl w:val="4756FE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C6C56"/>
    <w:multiLevelType w:val="multilevel"/>
    <w:tmpl w:val="D0B2C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770319">
    <w:abstractNumId w:val="0"/>
  </w:num>
  <w:num w:numId="2" w16cid:durableId="759831816">
    <w:abstractNumId w:val="1"/>
  </w:num>
  <w:num w:numId="3" w16cid:durableId="1769613861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5A"/>
    <w:rsid w:val="00154329"/>
    <w:rsid w:val="001C7B0B"/>
    <w:rsid w:val="00246D36"/>
    <w:rsid w:val="002A7E5A"/>
    <w:rsid w:val="002B651C"/>
    <w:rsid w:val="00682E46"/>
    <w:rsid w:val="00722EB1"/>
    <w:rsid w:val="00900C76"/>
    <w:rsid w:val="009D6D0D"/>
    <w:rsid w:val="00BC2E6B"/>
    <w:rsid w:val="00BD48F4"/>
    <w:rsid w:val="00CD2526"/>
    <w:rsid w:val="00D6472F"/>
    <w:rsid w:val="00E9613B"/>
    <w:rsid w:val="11F0D8E8"/>
    <w:rsid w:val="17F7FD83"/>
    <w:rsid w:val="1BF208D8"/>
    <w:rsid w:val="2376BBF0"/>
    <w:rsid w:val="311E32AF"/>
    <w:rsid w:val="391A5AFE"/>
    <w:rsid w:val="4A84CD58"/>
    <w:rsid w:val="565BFCE9"/>
    <w:rsid w:val="60CE7648"/>
    <w:rsid w:val="60DE387C"/>
    <w:rsid w:val="69AE26F2"/>
    <w:rsid w:val="6C390767"/>
    <w:rsid w:val="724FE668"/>
    <w:rsid w:val="74BA8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26071"/>
  <w15:docId w15:val="{36EECEE7-9873-4A78-9AC1-DA6E2451039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rPr>
      <w:lang w:eastAsia="en-US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lang w:eastAsia="en-US"/>
    </w:rPr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normaltextrun" w:customStyle="1">
    <w:name w:val="normaltextrun"/>
    <w:basedOn w:val="Domylnaczcionkaakapitu"/>
    <w:rsid w:val="00722EB1"/>
  </w:style>
  <w:style w:type="character" w:styleId="eop" w:customStyle="1">
    <w:name w:val="eop"/>
    <w:basedOn w:val="Domylnaczcionkaakapitu"/>
    <w:rsid w:val="00722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2RX4XBsP7jABDuprCqNAEJ9R7rQ==">AMUW2mWfA4t0DAb0HfcfPYEFDLC+3JWjExG1eVtjrXSKHD/M0tgmzjcgWwGCMuQ4BwiAPZwZQLTKCR7jAW6uZZcVzd8xfw3dr4Pxk5Dgj3D9n2eun89aBiQ=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69601C-D92D-4DCB-98B6-2A6BA451C6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04083E9F-0943-46DF-8D36-CFE38E6EC7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A14413-1872-4C22-9901-C8941CE185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Koniszewska - Ropa</cp:lastModifiedBy>
  <cp:revision>15</cp:revision>
  <dcterms:created xsi:type="dcterms:W3CDTF">2021-09-06T15:21:00Z</dcterms:created>
  <dcterms:modified xsi:type="dcterms:W3CDTF">2026-09-15T06:07:19Z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