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BE73DF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BE73DF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CD6897" w:rsidRPr="00BE73DF">
        <w:rPr>
          <w:rFonts w:ascii="Corbel" w:hAnsi="Corbel"/>
          <w:b/>
          <w:bCs/>
          <w:sz w:val="24"/>
          <w:szCs w:val="24"/>
        </w:rPr>
        <w:tab/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BE73DF">
        <w:rPr>
          <w:rFonts w:ascii="Corbel" w:hAnsi="Corbel"/>
          <w:bCs/>
          <w:i/>
          <w:sz w:val="24"/>
          <w:szCs w:val="24"/>
        </w:rPr>
        <w:t>1.5</w:t>
      </w:r>
      <w:r w:rsidR="00D8678B" w:rsidRPr="00BE73DF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BE73DF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BE73DF">
        <w:rPr>
          <w:rFonts w:ascii="Corbel" w:hAnsi="Corbel"/>
          <w:bCs/>
          <w:i/>
          <w:sz w:val="24"/>
          <w:szCs w:val="24"/>
        </w:rPr>
        <w:t xml:space="preserve"> nr </w:t>
      </w:r>
      <w:r w:rsidR="005F41B9" w:rsidRPr="00BE73DF">
        <w:rPr>
          <w:rFonts w:ascii="Corbel" w:hAnsi="Corbel"/>
          <w:bCs/>
          <w:i/>
          <w:sz w:val="24"/>
          <w:szCs w:val="24"/>
        </w:rPr>
        <w:t>61/2025</w:t>
      </w:r>
    </w:p>
    <w:p w14:paraId="20C0678A" w14:textId="77777777" w:rsidR="0085747A" w:rsidRPr="00BE73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0571A985" w:rsidR="0085747A" w:rsidRPr="00BE73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E73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BE73DF">
        <w:rPr>
          <w:rFonts w:ascii="Corbel" w:hAnsi="Corbel"/>
          <w:i/>
          <w:smallCaps/>
          <w:sz w:val="24"/>
          <w:szCs w:val="24"/>
        </w:rPr>
        <w:t>2026</w:t>
      </w:r>
      <w:r w:rsidR="00C8746F">
        <w:rPr>
          <w:rFonts w:ascii="Corbel" w:hAnsi="Corbel"/>
          <w:i/>
          <w:smallCaps/>
          <w:sz w:val="24"/>
          <w:szCs w:val="24"/>
        </w:rPr>
        <w:t>/2027</w:t>
      </w:r>
      <w:r w:rsidR="00C851C0" w:rsidRPr="00BE73DF">
        <w:rPr>
          <w:rFonts w:ascii="Corbel" w:hAnsi="Corbel"/>
          <w:i/>
          <w:smallCaps/>
          <w:sz w:val="24"/>
          <w:szCs w:val="24"/>
        </w:rPr>
        <w:t>-</w:t>
      </w:r>
      <w:r w:rsidR="00C8746F">
        <w:rPr>
          <w:rFonts w:ascii="Corbel" w:hAnsi="Corbel"/>
          <w:i/>
          <w:smallCaps/>
          <w:sz w:val="24"/>
          <w:szCs w:val="24"/>
        </w:rPr>
        <w:t>2028/</w:t>
      </w:r>
      <w:r w:rsidR="00C851C0" w:rsidRPr="00BE73DF">
        <w:rPr>
          <w:rFonts w:ascii="Corbel" w:hAnsi="Corbel"/>
          <w:i/>
          <w:smallCaps/>
          <w:sz w:val="24"/>
          <w:szCs w:val="24"/>
        </w:rPr>
        <w:t>2029</w:t>
      </w:r>
      <w:r w:rsidR="0085747A" w:rsidRPr="00BE73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BE73DF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E73DF">
        <w:rPr>
          <w:rFonts w:ascii="Corbel" w:hAnsi="Corbel"/>
          <w:i/>
          <w:sz w:val="24"/>
          <w:szCs w:val="24"/>
        </w:rPr>
        <w:t xml:space="preserve">       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="0085747A" w:rsidRPr="00BE73DF">
        <w:rPr>
          <w:rFonts w:ascii="Corbel" w:hAnsi="Corbel"/>
          <w:i/>
          <w:sz w:val="24"/>
          <w:szCs w:val="24"/>
        </w:rPr>
        <w:t>(skrajne daty</w:t>
      </w:r>
      <w:r w:rsidR="0085747A" w:rsidRPr="00BE73DF">
        <w:rPr>
          <w:rFonts w:ascii="Corbel" w:hAnsi="Corbel"/>
          <w:sz w:val="24"/>
          <w:szCs w:val="24"/>
        </w:rPr>
        <w:t>)</w:t>
      </w:r>
    </w:p>
    <w:p w14:paraId="1C32A401" w14:textId="53F09896" w:rsidR="00445970" w:rsidRPr="00BE73DF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</w:r>
      <w:r w:rsidRPr="00BE73DF">
        <w:rPr>
          <w:rFonts w:ascii="Corbel" w:hAnsi="Corbel"/>
          <w:sz w:val="24"/>
          <w:szCs w:val="24"/>
        </w:rPr>
        <w:tab/>
        <w:t xml:space="preserve">Rok akademicki   </w:t>
      </w:r>
      <w:r w:rsidR="00C851C0" w:rsidRPr="00BE73DF">
        <w:rPr>
          <w:rFonts w:ascii="Corbel" w:hAnsi="Corbel"/>
          <w:sz w:val="24"/>
          <w:szCs w:val="24"/>
        </w:rPr>
        <w:t>202</w:t>
      </w:r>
      <w:r w:rsidR="00361D27">
        <w:rPr>
          <w:rFonts w:ascii="Corbel" w:hAnsi="Corbel"/>
          <w:sz w:val="24"/>
          <w:szCs w:val="24"/>
        </w:rPr>
        <w:t>8/2029</w:t>
      </w:r>
    </w:p>
    <w:p w14:paraId="5DCA7495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E73DF">
        <w:rPr>
          <w:rFonts w:ascii="Corbel" w:hAnsi="Corbel"/>
          <w:szCs w:val="24"/>
        </w:rPr>
        <w:t xml:space="preserve">1. </w:t>
      </w:r>
      <w:r w:rsidR="0085747A" w:rsidRPr="00BE73DF">
        <w:rPr>
          <w:rFonts w:ascii="Corbel" w:hAnsi="Corbel"/>
          <w:szCs w:val="24"/>
        </w:rPr>
        <w:t xml:space="preserve">Podstawowe </w:t>
      </w:r>
      <w:r w:rsidR="00445970" w:rsidRPr="00BE73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E73DF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47123241" w:rsidR="0085747A" w:rsidRPr="00BE73DF" w:rsidRDefault="006F539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6F5398">
              <w:rPr>
                <w:rFonts w:ascii="Corbel" w:hAnsi="Corbel"/>
                <w:b w:val="0"/>
                <w:sz w:val="24"/>
                <w:szCs w:val="24"/>
              </w:rPr>
              <w:t>Genetyka i biologia konserwatorska</w:t>
            </w:r>
          </w:p>
        </w:tc>
      </w:tr>
      <w:tr w:rsidR="0085747A" w:rsidRPr="00BE73DF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BE73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BE73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E73DF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BE73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E73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E73DF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BE73DF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BE73DF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BE73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BE73DF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E73DF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BE73DF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E73DF">
              <w:rPr>
                <w:rFonts w:ascii="Corbel" w:hAnsi="Corbel"/>
                <w:sz w:val="24"/>
                <w:szCs w:val="24"/>
              </w:rPr>
              <w:t>/y</w:t>
            </w:r>
            <w:r w:rsidRPr="00BE73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2D8D1217" w:rsidR="0085747A" w:rsidRPr="00BE73DF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67D4C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6F5398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BE73DF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6F5398">
              <w:rPr>
                <w:rFonts w:ascii="Corbel" w:hAnsi="Corbel"/>
                <w:b w:val="0"/>
                <w:sz w:val="24"/>
                <w:szCs w:val="24"/>
              </w:rPr>
              <w:t>6</w:t>
            </w:r>
          </w:p>
        </w:tc>
      </w:tr>
      <w:tr w:rsidR="0085747A" w:rsidRPr="00BE73DF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71196DE1" w:rsidR="0085747A" w:rsidRPr="00BE73DF" w:rsidRDefault="00567D4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E73DF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BE73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E73DF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BE73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BE73DF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dr hab. Mateusz </w:t>
            </w: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Mołoń</w:t>
            </w:r>
            <w:proofErr w:type="spellEnd"/>
            <w:r w:rsidRPr="00BE73DF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C851C0" w:rsidRPr="00BE73DF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BE73DF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78A58EB2" w:rsidR="00C851C0" w:rsidRPr="00BE73DF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dr hab. Mateusz </w:t>
            </w:r>
            <w:proofErr w:type="spellStart"/>
            <w:r w:rsidRPr="00BE73DF">
              <w:rPr>
                <w:rFonts w:ascii="Corbel" w:hAnsi="Corbel"/>
                <w:b w:val="0"/>
                <w:sz w:val="24"/>
                <w:szCs w:val="24"/>
              </w:rPr>
              <w:t>Mołoń</w:t>
            </w:r>
            <w:proofErr w:type="spellEnd"/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, prof. UR, dr Ewelina Kuna, </w:t>
            </w:r>
            <w:r w:rsidR="004B37FE">
              <w:rPr>
                <w:rFonts w:ascii="Corbel" w:hAnsi="Corbel"/>
                <w:b w:val="0"/>
                <w:sz w:val="24"/>
                <w:szCs w:val="24"/>
              </w:rPr>
              <w:t xml:space="preserve">dr Małgorzata </w:t>
            </w:r>
            <w:proofErr w:type="spellStart"/>
            <w:r w:rsidR="004B37FE">
              <w:rPr>
                <w:rFonts w:ascii="Corbel" w:hAnsi="Corbel"/>
                <w:b w:val="0"/>
                <w:sz w:val="24"/>
                <w:szCs w:val="24"/>
              </w:rPr>
              <w:t>Karbarz</w:t>
            </w:r>
            <w:proofErr w:type="spellEnd"/>
            <w:r w:rsidR="004B37FE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Pr="00BE73DF">
              <w:rPr>
                <w:rFonts w:ascii="Corbel" w:hAnsi="Corbel"/>
                <w:b w:val="0"/>
                <w:sz w:val="24"/>
                <w:szCs w:val="24"/>
              </w:rPr>
              <w:t>mgr Zofia Kobylińska</w:t>
            </w:r>
          </w:p>
        </w:tc>
      </w:tr>
    </w:tbl>
    <w:p w14:paraId="03BABD26" w14:textId="77777777" w:rsidR="0085747A" w:rsidRPr="00BE73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* </w:t>
      </w:r>
      <w:r w:rsidRPr="00BE73DF">
        <w:rPr>
          <w:rFonts w:ascii="Corbel" w:hAnsi="Corbel"/>
          <w:i/>
          <w:sz w:val="24"/>
          <w:szCs w:val="24"/>
        </w:rPr>
        <w:t>-</w:t>
      </w:r>
      <w:r w:rsidR="00B90885" w:rsidRPr="00BE73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E73DF">
        <w:rPr>
          <w:rFonts w:ascii="Corbel" w:hAnsi="Corbel"/>
          <w:b w:val="0"/>
          <w:sz w:val="24"/>
          <w:szCs w:val="24"/>
        </w:rPr>
        <w:t>e,</w:t>
      </w:r>
      <w:r w:rsidRPr="00BE73DF">
        <w:rPr>
          <w:rFonts w:ascii="Corbel" w:hAnsi="Corbel"/>
          <w:i/>
          <w:sz w:val="24"/>
          <w:szCs w:val="24"/>
        </w:rPr>
        <w:t xml:space="preserve"> </w:t>
      </w:r>
      <w:r w:rsidRPr="00BE73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E73DF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BE73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1.</w:t>
      </w:r>
      <w:r w:rsidR="00E22FBC" w:rsidRPr="00BE73DF">
        <w:rPr>
          <w:rFonts w:ascii="Corbel" w:hAnsi="Corbel"/>
          <w:sz w:val="24"/>
          <w:szCs w:val="24"/>
        </w:rPr>
        <w:t>1</w:t>
      </w:r>
      <w:r w:rsidRPr="00BE73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BE73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E73DF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BE73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(</w:t>
            </w:r>
            <w:r w:rsidR="00363F78" w:rsidRPr="00BE73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Wykł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Konw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6F5398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6F5398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Sem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E73DF">
              <w:rPr>
                <w:rFonts w:ascii="Corbel" w:hAnsi="Corbel"/>
                <w:szCs w:val="24"/>
              </w:rPr>
              <w:t>Prakt</w:t>
            </w:r>
            <w:proofErr w:type="spellEnd"/>
            <w:r w:rsidRPr="00BE73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E73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BE73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E73DF">
              <w:rPr>
                <w:rFonts w:ascii="Corbel" w:hAnsi="Corbel"/>
                <w:b/>
                <w:szCs w:val="24"/>
              </w:rPr>
              <w:t>Liczba pkt</w:t>
            </w:r>
            <w:r w:rsidR="00B90885" w:rsidRPr="00BE73DF">
              <w:rPr>
                <w:rFonts w:ascii="Corbel" w:hAnsi="Corbel"/>
                <w:b/>
                <w:szCs w:val="24"/>
              </w:rPr>
              <w:t>.</w:t>
            </w:r>
            <w:r w:rsidRPr="00BE73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E73DF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3223EF48" w:rsidR="00015B8F" w:rsidRPr="00BE73DF" w:rsidRDefault="0028547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30BA2BD7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1</w:t>
            </w:r>
            <w:r w:rsidR="006F5398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15991DEA" w:rsidR="00015B8F" w:rsidRPr="006F5398" w:rsidRDefault="006F539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6F5398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BE73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93A648E" w:rsidR="00015B8F" w:rsidRPr="00BE73DF" w:rsidRDefault="00567D4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1C5AD6B" w14:textId="77777777" w:rsidR="00923D7D" w:rsidRPr="00BE73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BE73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BE73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1.</w:t>
      </w:r>
      <w:r w:rsidR="00E22FBC" w:rsidRPr="00BE73DF">
        <w:rPr>
          <w:rFonts w:ascii="Corbel" w:hAnsi="Corbel"/>
          <w:smallCaps w:val="0"/>
          <w:szCs w:val="24"/>
        </w:rPr>
        <w:t>2</w:t>
      </w:r>
      <w:r w:rsidR="00F83B28" w:rsidRPr="00BE73DF">
        <w:rPr>
          <w:rFonts w:ascii="Corbel" w:hAnsi="Corbel"/>
          <w:smallCaps w:val="0"/>
          <w:szCs w:val="24"/>
        </w:rPr>
        <w:t>.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BE73DF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eastAsia="MS Gothic" w:hAnsi="Corbel" w:cs="Segoe UI Symbol"/>
          <w:b w:val="0"/>
          <w:szCs w:val="24"/>
        </w:rPr>
        <w:t>x</w:t>
      </w:r>
      <w:r w:rsidR="0085747A" w:rsidRPr="00BE73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BE73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E73DF">
        <w:rPr>
          <w:rFonts w:ascii="Segoe UI Symbol" w:eastAsia="MS Gothic" w:hAnsi="Segoe UI Symbol" w:cs="Segoe UI Symbol"/>
          <w:b w:val="0"/>
          <w:szCs w:val="24"/>
        </w:rPr>
        <w:t>☐</w:t>
      </w:r>
      <w:r w:rsidRPr="00BE73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9CB5FA3" w14:textId="77777777" w:rsidR="00E22FBC" w:rsidRPr="00BE73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1.3 </w:t>
      </w:r>
      <w:r w:rsidR="00F83B28" w:rsidRPr="00BE73DF">
        <w:rPr>
          <w:rFonts w:ascii="Corbel" w:hAnsi="Corbel"/>
          <w:smallCaps w:val="0"/>
          <w:szCs w:val="24"/>
        </w:rPr>
        <w:tab/>
      </w:r>
      <w:r w:rsidRPr="00BE73DF">
        <w:rPr>
          <w:rFonts w:ascii="Corbel" w:hAnsi="Corbel"/>
          <w:smallCaps w:val="0"/>
          <w:szCs w:val="24"/>
        </w:rPr>
        <w:t>For</w:t>
      </w:r>
      <w:r w:rsidR="00445970" w:rsidRPr="00BE73DF">
        <w:rPr>
          <w:rFonts w:ascii="Corbel" w:hAnsi="Corbel"/>
          <w:smallCaps w:val="0"/>
          <w:szCs w:val="24"/>
        </w:rPr>
        <w:t xml:space="preserve">ma zaliczenia przedmiotu </w:t>
      </w:r>
      <w:r w:rsidRPr="00BE73DF">
        <w:rPr>
          <w:rFonts w:ascii="Corbel" w:hAnsi="Corbel"/>
          <w:smallCaps w:val="0"/>
          <w:szCs w:val="24"/>
        </w:rPr>
        <w:t xml:space="preserve"> (z toku) </w:t>
      </w:r>
      <w:r w:rsidRPr="00BE73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20A7BC" w14:textId="7AB48E3A" w:rsidR="009C54AE" w:rsidRPr="00BE73DF" w:rsidRDefault="00524FB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BE73DF">
        <w:rPr>
          <w:rFonts w:ascii="Corbel" w:hAnsi="Corbel"/>
          <w:b w:val="0"/>
          <w:szCs w:val="24"/>
        </w:rPr>
        <w:t>wykład: egzamin</w:t>
      </w:r>
      <w:r w:rsidRPr="00BE73DF">
        <w:rPr>
          <w:rFonts w:ascii="Corbel" w:hAnsi="Corbel"/>
          <w:b w:val="0"/>
          <w:szCs w:val="24"/>
        </w:rPr>
        <w:br/>
        <w:t>Laboratorium: zaliczenie z oceną</w:t>
      </w:r>
    </w:p>
    <w:p w14:paraId="51CFC7FD" w14:textId="77777777" w:rsidR="00E960BB" w:rsidRPr="00BE73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EA998D0" w14:textId="77777777" w:rsidTr="00745302">
        <w:tc>
          <w:tcPr>
            <w:tcW w:w="9670" w:type="dxa"/>
          </w:tcPr>
          <w:p w14:paraId="43639721" w14:textId="7AD72E00" w:rsidR="0085747A" w:rsidRPr="00BE73DF" w:rsidRDefault="006F5398" w:rsidP="006F5398">
            <w:pPr>
              <w:tabs>
                <w:tab w:val="num" w:pos="720"/>
              </w:tabs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t>Student powinien posiadać podstawową wiedzę z zakresu biologii, ekologii i genetyki, obejmującą:</w:t>
            </w:r>
            <w:r>
              <w:rPr>
                <w:rFonts w:ascii="Corbel" w:hAnsi="Corbel"/>
                <w:b/>
                <w:smallCaps/>
                <w:sz w:val="24"/>
                <w:szCs w:val="24"/>
              </w:rPr>
              <w:t xml:space="preserve"> </w:t>
            </w: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t>znajomość budowy i funkcji kwasów nukleinowych (DNA, RNA) oraz podstaw ekspresji genów,</w:t>
            </w:r>
            <w:r>
              <w:rPr>
                <w:rFonts w:ascii="Corbel" w:hAnsi="Corbel"/>
                <w:b/>
                <w:smallCaps/>
                <w:sz w:val="24"/>
                <w:szCs w:val="24"/>
              </w:rPr>
              <w:t xml:space="preserve"> </w:t>
            </w: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t>ogólną wiedzę o mechanizmach dziedziczenia i zmienności genetycznej,</w:t>
            </w:r>
            <w:r>
              <w:rPr>
                <w:rFonts w:ascii="Corbel" w:hAnsi="Corbel"/>
                <w:b/>
                <w:smallCaps/>
                <w:sz w:val="24"/>
                <w:szCs w:val="24"/>
              </w:rPr>
              <w:t xml:space="preserve"> </w:t>
            </w: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lastRenderedPageBreak/>
              <w:t>rozumienie zasad ewolucji i funkcjonowania populacji biologicznych,</w:t>
            </w:r>
            <w:r>
              <w:rPr>
                <w:rFonts w:ascii="Corbel" w:hAnsi="Corbel"/>
                <w:b/>
                <w:smallCaps/>
                <w:sz w:val="24"/>
                <w:szCs w:val="24"/>
              </w:rPr>
              <w:t xml:space="preserve"> </w:t>
            </w: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t>podstawy ekologii — pojęcia bioróżnorodności, niszy ekologicznej, relacji międzygatunkowych,</w:t>
            </w:r>
            <w:r>
              <w:rPr>
                <w:rFonts w:ascii="Corbel" w:hAnsi="Corbel"/>
                <w:b/>
                <w:smallCaps/>
                <w:sz w:val="24"/>
                <w:szCs w:val="24"/>
              </w:rPr>
              <w:t xml:space="preserve"> </w:t>
            </w:r>
            <w:r w:rsidRPr="006F5398">
              <w:rPr>
                <w:rFonts w:ascii="Corbel" w:hAnsi="Corbel"/>
                <w:b/>
                <w:smallCaps/>
                <w:sz w:val="24"/>
                <w:szCs w:val="24"/>
              </w:rPr>
              <w:t>świadomość znaczenia ochrony gatunkowej i ekosystemowej w kontekście zrównoważonego rozwoju.</w:t>
            </w:r>
          </w:p>
        </w:tc>
      </w:tr>
    </w:tbl>
    <w:p w14:paraId="2B585CDF" w14:textId="77777777" w:rsidR="00153C41" w:rsidRPr="00BE73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E73DF">
        <w:rPr>
          <w:rFonts w:ascii="Corbel" w:hAnsi="Corbel"/>
          <w:szCs w:val="24"/>
        </w:rPr>
        <w:t>3.</w:t>
      </w:r>
      <w:r w:rsidR="0085747A" w:rsidRPr="00BE73DF">
        <w:rPr>
          <w:rFonts w:ascii="Corbel" w:hAnsi="Corbel"/>
          <w:szCs w:val="24"/>
        </w:rPr>
        <w:t xml:space="preserve"> </w:t>
      </w:r>
      <w:r w:rsidR="00A84C85" w:rsidRPr="00BE73DF">
        <w:rPr>
          <w:rFonts w:ascii="Corbel" w:hAnsi="Corbel"/>
          <w:szCs w:val="24"/>
        </w:rPr>
        <w:t>cele, efekty uczenia się</w:t>
      </w:r>
      <w:r w:rsidR="0085747A" w:rsidRPr="00BE73DF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BE73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3.1 </w:t>
      </w:r>
      <w:r w:rsidR="00C05F44" w:rsidRPr="00BE73DF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BE73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6F5398" w:rsidRPr="00BE73DF" w14:paraId="01FB6ACD" w14:textId="77777777" w:rsidTr="00521DD8">
        <w:tc>
          <w:tcPr>
            <w:tcW w:w="843" w:type="dxa"/>
            <w:vAlign w:val="center"/>
          </w:tcPr>
          <w:p w14:paraId="64329FF4" w14:textId="77777777" w:rsidR="006F5398" w:rsidRPr="00BE73DF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187F1FC6" w:rsidR="006F5398" w:rsidRPr="006F5398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F5398">
              <w:rPr>
                <w:b w:val="0"/>
                <w:bCs/>
              </w:rPr>
              <w:t>Zapoznanie studentów z podstawami genetyki populacyjnej i jej znaczeniem dla ochrony gatunków i różnorodności biologicznej.</w:t>
            </w:r>
          </w:p>
        </w:tc>
      </w:tr>
      <w:tr w:rsidR="006F5398" w:rsidRPr="00BE73DF" w14:paraId="1E33E0F6" w14:textId="77777777" w:rsidTr="00521DD8">
        <w:tc>
          <w:tcPr>
            <w:tcW w:w="843" w:type="dxa"/>
            <w:vAlign w:val="center"/>
          </w:tcPr>
          <w:p w14:paraId="253CFA17" w14:textId="6DDC3E3C" w:rsidR="006F5398" w:rsidRPr="00BE73DF" w:rsidRDefault="006F5398" w:rsidP="006F5398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6671E134" w:rsidR="006F5398" w:rsidRPr="006F5398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F5398">
              <w:rPr>
                <w:b w:val="0"/>
                <w:bCs/>
              </w:rPr>
              <w:t>Przedstawienie roli narzędzi molekularnych i biotechnologicznych w ochronie przyrody i zarządzaniu populacjami zagrożonymi.</w:t>
            </w:r>
          </w:p>
        </w:tc>
      </w:tr>
      <w:tr w:rsidR="006F5398" w:rsidRPr="00BE73DF" w14:paraId="48E73810" w14:textId="77777777" w:rsidTr="00521DD8">
        <w:tc>
          <w:tcPr>
            <w:tcW w:w="843" w:type="dxa"/>
            <w:vAlign w:val="center"/>
          </w:tcPr>
          <w:p w14:paraId="4749F27E" w14:textId="4F1577ED" w:rsidR="006F5398" w:rsidRPr="00BE73DF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AE89D4B" w14:textId="69A4F103" w:rsidR="006F5398" w:rsidRPr="006F5398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F5398">
              <w:rPr>
                <w:b w:val="0"/>
                <w:bCs/>
              </w:rPr>
              <w:t>Rozwijanie umiejętności analizy genetycznej i interpretacji danych dotyczących zróżnicowania genetycznego populacji.</w:t>
            </w:r>
          </w:p>
        </w:tc>
      </w:tr>
      <w:tr w:rsidR="006F5398" w:rsidRPr="00BE73DF" w14:paraId="2DED46F2" w14:textId="77777777" w:rsidTr="00521DD8">
        <w:tc>
          <w:tcPr>
            <w:tcW w:w="843" w:type="dxa"/>
            <w:vAlign w:val="center"/>
          </w:tcPr>
          <w:p w14:paraId="3AD397BF" w14:textId="6268AAD1" w:rsidR="006F5398" w:rsidRPr="00BE73DF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E73DF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62714191" w14:textId="1CCC3B91" w:rsidR="006F5398" w:rsidRPr="006F5398" w:rsidRDefault="006F5398" w:rsidP="006F539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F5398">
              <w:rPr>
                <w:b w:val="0"/>
                <w:bCs/>
              </w:rPr>
              <w:t>Uświadomienie znaczenia integracji wiedzy z genetyki, ekologii i socjobiologii w strategiach zrównoważonego rozwoju i ochrony przyrody.</w:t>
            </w:r>
          </w:p>
        </w:tc>
      </w:tr>
    </w:tbl>
    <w:p w14:paraId="695E94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BE73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3.2 </w:t>
      </w:r>
      <w:r w:rsidR="001D7B54" w:rsidRPr="00BE73DF">
        <w:rPr>
          <w:rFonts w:ascii="Corbel" w:hAnsi="Corbel"/>
          <w:b/>
          <w:sz w:val="24"/>
          <w:szCs w:val="24"/>
        </w:rPr>
        <w:t xml:space="preserve">Efekty </w:t>
      </w:r>
      <w:r w:rsidR="00C05F44" w:rsidRPr="00BE73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E73DF">
        <w:rPr>
          <w:rFonts w:ascii="Corbel" w:hAnsi="Corbel"/>
          <w:b/>
          <w:sz w:val="24"/>
          <w:szCs w:val="24"/>
        </w:rPr>
        <w:t>dla przedmiotu</w:t>
      </w:r>
      <w:r w:rsidR="00445970" w:rsidRPr="00BE73DF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BE73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E73DF" w14:paraId="0AC5D0F7" w14:textId="77777777" w:rsidTr="0071620A">
        <w:tc>
          <w:tcPr>
            <w:tcW w:w="1701" w:type="dxa"/>
            <w:vAlign w:val="center"/>
          </w:tcPr>
          <w:p w14:paraId="0D07E105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E73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02AAD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881E89E" w14:textId="77777777" w:rsidR="0085747A" w:rsidRPr="00BE73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E73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51C0" w:rsidRPr="00BE73DF" w14:paraId="4D4B923C" w14:textId="77777777" w:rsidTr="005E6E85">
        <w:tc>
          <w:tcPr>
            <w:tcW w:w="1701" w:type="dxa"/>
          </w:tcPr>
          <w:p w14:paraId="61EE5CDC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E73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06D488E" w14:textId="30717F83" w:rsidR="00C851C0" w:rsidRPr="00BE73DF" w:rsidRDefault="006F539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>Zna podstawowe pojęcia i prawa genetyki populacyjnej oraz ich zastosowanie w ochronie przyrody</w:t>
            </w: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ab/>
            </w:r>
          </w:p>
        </w:tc>
        <w:tc>
          <w:tcPr>
            <w:tcW w:w="1873" w:type="dxa"/>
          </w:tcPr>
          <w:p w14:paraId="4B8520E3" w14:textId="0B4835AE" w:rsidR="00C851C0" w:rsidRPr="00BE73DF" w:rsidRDefault="001372B1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C851C0" w:rsidRPr="00BE73DF" w14:paraId="3EA79688" w14:textId="77777777" w:rsidTr="005E6E85">
        <w:tc>
          <w:tcPr>
            <w:tcW w:w="1701" w:type="dxa"/>
          </w:tcPr>
          <w:p w14:paraId="6735E59B" w14:textId="77777777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B65509" w14:textId="0D35A2C7" w:rsidR="00C851C0" w:rsidRPr="00BE73DF" w:rsidRDefault="006F539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różnorodności genetycznej dla stabilności ekosystemów i przystosowania gatunków</w:t>
            </w:r>
          </w:p>
        </w:tc>
        <w:tc>
          <w:tcPr>
            <w:tcW w:w="1873" w:type="dxa"/>
          </w:tcPr>
          <w:p w14:paraId="02E8F910" w14:textId="5C282A1A" w:rsidR="00C851C0" w:rsidRPr="00BE73DF" w:rsidRDefault="001372B1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K_W13</w:t>
            </w:r>
          </w:p>
        </w:tc>
      </w:tr>
      <w:tr w:rsidR="00C851C0" w:rsidRPr="00BE73DF" w14:paraId="272CC623" w14:textId="77777777" w:rsidTr="005E6E85">
        <w:tc>
          <w:tcPr>
            <w:tcW w:w="1701" w:type="dxa"/>
          </w:tcPr>
          <w:p w14:paraId="3E46B055" w14:textId="24419710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38E77DF4" w14:textId="5DB26C21" w:rsidR="00C851C0" w:rsidRPr="00BE73DF" w:rsidRDefault="006F539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Potrafi analizować zmienność genetyczną populacji przy użyciu prostych narzędzi </w:t>
            </w:r>
            <w:proofErr w:type="spellStart"/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>bioinformatycznych</w:t>
            </w:r>
            <w:proofErr w:type="spellEnd"/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i molekularnych</w:t>
            </w:r>
          </w:p>
        </w:tc>
        <w:tc>
          <w:tcPr>
            <w:tcW w:w="1873" w:type="dxa"/>
          </w:tcPr>
          <w:p w14:paraId="23D7C1A6" w14:textId="6059F5B6" w:rsidR="00C851C0" w:rsidRPr="00BE73DF" w:rsidRDefault="001372B1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K_W11, </w:t>
            </w:r>
            <w:r w:rsidR="00CF7F86"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K_U03, K_U04, K_K08</w:t>
            </w:r>
          </w:p>
        </w:tc>
      </w:tr>
      <w:tr w:rsidR="00C851C0" w:rsidRPr="00BE73DF" w14:paraId="745A54ED" w14:textId="77777777" w:rsidTr="005E6E85">
        <w:tc>
          <w:tcPr>
            <w:tcW w:w="1701" w:type="dxa"/>
          </w:tcPr>
          <w:p w14:paraId="0D45AB66" w14:textId="570D92B4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44CD2BCA" w14:textId="20EB24E7" w:rsidR="00C851C0" w:rsidRPr="00BE73DF" w:rsidRDefault="006F539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>Umie interpretować wyniki analiz genetycznych w kontekście działań konserwatorskich i zrównoważonego rozwoju</w:t>
            </w:r>
          </w:p>
        </w:tc>
        <w:tc>
          <w:tcPr>
            <w:tcW w:w="1873" w:type="dxa"/>
          </w:tcPr>
          <w:p w14:paraId="0E15C605" w14:textId="4565D70E" w:rsidR="00C851C0" w:rsidRPr="00BE73DF" w:rsidRDefault="001372B1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851C0" w:rsidRPr="00BE73DF" w14:paraId="319922CB" w14:textId="77777777" w:rsidTr="005E6E85">
        <w:tc>
          <w:tcPr>
            <w:tcW w:w="1701" w:type="dxa"/>
          </w:tcPr>
          <w:p w14:paraId="42F89816" w14:textId="30001EB5" w:rsidR="00C851C0" w:rsidRPr="00BE73DF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55EF6C71" w14:textId="2CE03582" w:rsidR="00C851C0" w:rsidRPr="00BE73DF" w:rsidRDefault="006F5398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6F5398">
              <w:rPr>
                <w:rFonts w:ascii="Corbel" w:hAnsi="Corbel"/>
                <w:b w:val="0"/>
                <w:bCs/>
                <w:smallCaps w:val="0"/>
                <w:szCs w:val="24"/>
              </w:rPr>
              <w:t>Rozumie etyczne i społeczne aspekty wykorzystywania biotechnologii w ochronie przyrody</w:t>
            </w:r>
          </w:p>
        </w:tc>
        <w:tc>
          <w:tcPr>
            <w:tcW w:w="1873" w:type="dxa"/>
          </w:tcPr>
          <w:p w14:paraId="5D200CD5" w14:textId="08720C87" w:rsidR="00C851C0" w:rsidRPr="00BE73DF" w:rsidRDefault="001372B1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K_W12, K_K02</w:t>
            </w:r>
          </w:p>
        </w:tc>
      </w:tr>
    </w:tbl>
    <w:p w14:paraId="280AE4BF" w14:textId="77777777" w:rsidR="0085747A" w:rsidRPr="00BE73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>3.3</w:t>
      </w:r>
      <w:r w:rsidR="001D7B54" w:rsidRPr="00BE73DF">
        <w:rPr>
          <w:rFonts w:ascii="Corbel" w:hAnsi="Corbel"/>
          <w:b/>
          <w:sz w:val="24"/>
          <w:szCs w:val="24"/>
        </w:rPr>
        <w:t xml:space="preserve"> </w:t>
      </w:r>
      <w:r w:rsidR="0085747A" w:rsidRPr="00BE73DF">
        <w:rPr>
          <w:rFonts w:ascii="Corbel" w:hAnsi="Corbel"/>
          <w:b/>
          <w:sz w:val="24"/>
          <w:szCs w:val="24"/>
        </w:rPr>
        <w:t>T</w:t>
      </w:r>
      <w:r w:rsidR="001D7B54" w:rsidRPr="00BE73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E73DF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BE73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 xml:space="preserve">Problematyka wykładu </w:t>
      </w:r>
    </w:p>
    <w:p w14:paraId="35069DE3" w14:textId="77777777" w:rsidR="00675843" w:rsidRPr="00BE73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136D5835" w14:textId="77777777" w:rsidTr="00521DD8">
        <w:tc>
          <w:tcPr>
            <w:tcW w:w="9520" w:type="dxa"/>
          </w:tcPr>
          <w:p w14:paraId="59E3CE47" w14:textId="77777777" w:rsidR="0085747A" w:rsidRPr="00BE73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28547B" w:rsidRPr="00BE73DF" w14:paraId="240F0C67" w14:textId="77777777" w:rsidTr="00521DD8">
        <w:tc>
          <w:tcPr>
            <w:tcW w:w="9520" w:type="dxa"/>
          </w:tcPr>
          <w:p w14:paraId="64DD97A2" w14:textId="1CCBC4F1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Wprowadzenie do genetyki i biologii konserwatorskiej</w:t>
            </w:r>
            <w:r w:rsidRPr="0028547B">
              <w:t xml:space="preserve"> – zakres i cele, historia dziedziny, przykłady zastosowań.</w:t>
            </w:r>
          </w:p>
        </w:tc>
      </w:tr>
      <w:tr w:rsidR="0028547B" w:rsidRPr="00BE73DF" w14:paraId="02CF1578" w14:textId="77777777" w:rsidTr="00521DD8">
        <w:tc>
          <w:tcPr>
            <w:tcW w:w="9520" w:type="dxa"/>
          </w:tcPr>
          <w:p w14:paraId="705B8A21" w14:textId="1A212578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Podstawy genetyki populacyjnej</w:t>
            </w:r>
            <w:r w:rsidRPr="0028547B">
              <w:t xml:space="preserve"> – zróżnicowanie genetyczne, dryf, migracja, selekcja, </w:t>
            </w:r>
            <w:proofErr w:type="spellStart"/>
            <w:r w:rsidRPr="0028547B">
              <w:t>inbreeding</w:t>
            </w:r>
            <w:proofErr w:type="spellEnd"/>
            <w:r w:rsidRPr="0028547B">
              <w:t>.</w:t>
            </w:r>
          </w:p>
        </w:tc>
      </w:tr>
      <w:tr w:rsidR="0028547B" w:rsidRPr="00BE73DF" w14:paraId="4F254743" w14:textId="77777777" w:rsidTr="00521DD8">
        <w:tc>
          <w:tcPr>
            <w:tcW w:w="9520" w:type="dxa"/>
          </w:tcPr>
          <w:p w14:paraId="60AC5AD3" w14:textId="0762D885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Markery genetyczne w badaniach populacyjnych</w:t>
            </w:r>
            <w:r w:rsidRPr="0028547B">
              <w:t xml:space="preserve"> – </w:t>
            </w:r>
            <w:proofErr w:type="spellStart"/>
            <w:r w:rsidRPr="0028547B">
              <w:t>mikrosatelity</w:t>
            </w:r>
            <w:proofErr w:type="spellEnd"/>
            <w:r w:rsidRPr="0028547B">
              <w:t xml:space="preserve">, SNP, RAPD, AFLP, DNA </w:t>
            </w:r>
            <w:proofErr w:type="spellStart"/>
            <w:r w:rsidRPr="0028547B">
              <w:t>barcoding</w:t>
            </w:r>
            <w:proofErr w:type="spellEnd"/>
            <w:r w:rsidRPr="0028547B">
              <w:t>.</w:t>
            </w:r>
          </w:p>
        </w:tc>
      </w:tr>
      <w:tr w:rsidR="0028547B" w:rsidRPr="00BE73DF" w14:paraId="3B2533CC" w14:textId="77777777" w:rsidTr="00521DD8">
        <w:tc>
          <w:tcPr>
            <w:tcW w:w="9520" w:type="dxa"/>
          </w:tcPr>
          <w:p w14:paraId="053E1E83" w14:textId="213FEBAF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Utrata różnorodności genetycznej – przyczyny i konsekwencje</w:t>
            </w:r>
            <w:r w:rsidRPr="0028547B">
              <w:t xml:space="preserve"> – izolacja, efekt założyciela, butelka populacyjna.</w:t>
            </w:r>
          </w:p>
        </w:tc>
      </w:tr>
      <w:tr w:rsidR="0028547B" w:rsidRPr="00BE73DF" w14:paraId="7A293A5B" w14:textId="77777777" w:rsidTr="00521DD8">
        <w:tc>
          <w:tcPr>
            <w:tcW w:w="9520" w:type="dxa"/>
          </w:tcPr>
          <w:p w14:paraId="5ECD0442" w14:textId="514BE5C8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lastRenderedPageBreak/>
              <w:t>Zastosowanie analiz molekularnych w ochronie gatunków</w:t>
            </w:r>
            <w:r w:rsidRPr="0028547B">
              <w:t xml:space="preserve"> – identyfikacja, pokrewieństwo, przepływ genów.</w:t>
            </w:r>
          </w:p>
        </w:tc>
      </w:tr>
      <w:tr w:rsidR="0028547B" w:rsidRPr="00BE73DF" w14:paraId="3A0E6A90" w14:textId="77777777" w:rsidTr="00521DD8">
        <w:tc>
          <w:tcPr>
            <w:tcW w:w="9520" w:type="dxa"/>
          </w:tcPr>
          <w:p w14:paraId="7BFD28AD" w14:textId="5F1A5C41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Biologia rozrodu i zarządzanie genetyką małych populacji</w:t>
            </w:r>
            <w:r w:rsidRPr="0028547B">
              <w:t xml:space="preserve"> – banki genów, hodowle ex situ, planowanie krzyżowań.</w:t>
            </w:r>
          </w:p>
        </w:tc>
      </w:tr>
      <w:tr w:rsidR="0028547B" w:rsidRPr="00BE73DF" w14:paraId="26642606" w14:textId="77777777" w:rsidTr="00521DD8">
        <w:tc>
          <w:tcPr>
            <w:tcW w:w="9520" w:type="dxa"/>
          </w:tcPr>
          <w:p w14:paraId="30396F00" w14:textId="4023E1A4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Genetyka a adaptacja gatunków do zmian klimatu</w:t>
            </w:r>
            <w:r w:rsidRPr="0028547B">
              <w:t xml:space="preserve"> – stres środowiskowy, ewolucja szybka, epigenetyka adaptacyjna.</w:t>
            </w:r>
          </w:p>
        </w:tc>
      </w:tr>
      <w:tr w:rsidR="0028547B" w:rsidRPr="00BE73DF" w14:paraId="448F9C7D" w14:textId="77777777" w:rsidTr="00521DD8">
        <w:tc>
          <w:tcPr>
            <w:tcW w:w="9520" w:type="dxa"/>
          </w:tcPr>
          <w:p w14:paraId="5D774B46" w14:textId="48C72FB2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 xml:space="preserve">Ochrona genetyczna w programach </w:t>
            </w:r>
            <w:proofErr w:type="spellStart"/>
            <w:r w:rsidRPr="0028547B">
              <w:rPr>
                <w:rStyle w:val="Pogrubienie"/>
                <w:b w:val="0"/>
                <w:bCs w:val="0"/>
              </w:rPr>
              <w:t>reintrodukcji</w:t>
            </w:r>
            <w:proofErr w:type="spellEnd"/>
            <w:r w:rsidRPr="0028547B">
              <w:rPr>
                <w:rStyle w:val="Pogrubienie"/>
                <w:b w:val="0"/>
                <w:bCs w:val="0"/>
              </w:rPr>
              <w:t xml:space="preserve"> i restytucji gatunków.</w:t>
            </w:r>
          </w:p>
        </w:tc>
      </w:tr>
      <w:tr w:rsidR="0028547B" w:rsidRPr="00BE73DF" w14:paraId="5EC8BF8D" w14:textId="77777777" w:rsidTr="00521DD8">
        <w:tc>
          <w:tcPr>
            <w:tcW w:w="9520" w:type="dxa"/>
          </w:tcPr>
          <w:p w14:paraId="33B26B3D" w14:textId="127780A0" w:rsidR="0028547B" w:rsidRPr="0028547B" w:rsidRDefault="0028547B" w:rsidP="0028547B">
            <w:pPr>
              <w:spacing w:after="0"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Zagrożenia biotechnologiczne i etyczne dylematy genetyki konserwatorskiej.</w:t>
            </w:r>
          </w:p>
        </w:tc>
      </w:tr>
      <w:tr w:rsidR="0028547B" w:rsidRPr="00BE73DF" w14:paraId="77966119" w14:textId="77777777" w:rsidTr="00521DD8">
        <w:tc>
          <w:tcPr>
            <w:tcW w:w="9520" w:type="dxa"/>
          </w:tcPr>
          <w:p w14:paraId="186F0EC5" w14:textId="5ED56739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Nowoczesne technologie w biologii konserwatorskiej</w:t>
            </w:r>
            <w:r w:rsidRPr="0028547B">
              <w:rPr>
                <w:b/>
                <w:bCs/>
              </w:rPr>
              <w:t xml:space="preserve"> </w:t>
            </w:r>
            <w:r w:rsidRPr="0028547B">
              <w:t>– sekwencjonowanie nowej generacji, genomika populacyjna.</w:t>
            </w:r>
          </w:p>
        </w:tc>
      </w:tr>
      <w:tr w:rsidR="0028547B" w:rsidRPr="00BE73DF" w14:paraId="6EC276BA" w14:textId="77777777" w:rsidTr="00521DD8">
        <w:tc>
          <w:tcPr>
            <w:tcW w:w="9520" w:type="dxa"/>
          </w:tcPr>
          <w:p w14:paraId="768BDDA2" w14:textId="7F698C56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Analiza przypadków</w:t>
            </w:r>
            <w:r w:rsidRPr="0028547B">
              <w:t xml:space="preserve"> – wilk, żubr, niedźwiedź, rośliny rzadkie.</w:t>
            </w:r>
          </w:p>
        </w:tc>
      </w:tr>
      <w:tr w:rsidR="0028547B" w:rsidRPr="00BE73DF" w14:paraId="4EBCD0A5" w14:textId="77777777" w:rsidTr="00521DD8">
        <w:tc>
          <w:tcPr>
            <w:tcW w:w="9520" w:type="dxa"/>
          </w:tcPr>
          <w:p w14:paraId="7698608C" w14:textId="6FF8C105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8547B">
              <w:rPr>
                <w:rStyle w:val="Pogrubienie"/>
                <w:b w:val="0"/>
                <w:bCs w:val="0"/>
              </w:rPr>
              <w:t>Genetyka a bioróżnorodność – znaczenie dla zrównoważonego rozwoju.</w:t>
            </w:r>
          </w:p>
        </w:tc>
      </w:tr>
      <w:tr w:rsidR="0028547B" w:rsidRPr="00BE73DF" w14:paraId="61B448D3" w14:textId="77777777" w:rsidTr="00521DD8">
        <w:tc>
          <w:tcPr>
            <w:tcW w:w="9520" w:type="dxa"/>
          </w:tcPr>
          <w:p w14:paraId="36B8918B" w14:textId="45AC7A23" w:rsidR="0028547B" w:rsidRPr="0028547B" w:rsidRDefault="0028547B" w:rsidP="0028547B">
            <w:pPr>
              <w:pStyle w:val="Akapitzlist"/>
              <w:spacing w:after="0" w:line="240" w:lineRule="auto"/>
              <w:ind w:left="-250" w:firstLine="250"/>
              <w:rPr>
                <w:rFonts w:hAnsi="Symbol"/>
              </w:rPr>
            </w:pPr>
            <w:r w:rsidRPr="0028547B">
              <w:rPr>
                <w:rFonts w:hAnsi="Symbol"/>
              </w:rPr>
              <w:t>Socjobiologiczne aspekty ochrony gatunk</w:t>
            </w:r>
            <w:r w:rsidRPr="0028547B">
              <w:rPr>
                <w:rFonts w:ascii="Corbel" w:hAnsi="Corbel"/>
              </w:rPr>
              <w:t>ó</w:t>
            </w:r>
            <w:r w:rsidRPr="0028547B">
              <w:rPr>
                <w:rFonts w:hAnsi="Symbol"/>
              </w:rPr>
              <w:t>w.</w:t>
            </w:r>
          </w:p>
        </w:tc>
      </w:tr>
    </w:tbl>
    <w:p w14:paraId="54735302" w14:textId="77777777" w:rsidR="0085747A" w:rsidRPr="00BE73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BE73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E73DF">
        <w:rPr>
          <w:rFonts w:ascii="Corbel" w:hAnsi="Corbel"/>
          <w:sz w:val="24"/>
          <w:szCs w:val="24"/>
        </w:rPr>
        <w:t>Problematyka laborator</w:t>
      </w:r>
      <w:r w:rsidR="005F76A3" w:rsidRPr="00BE73DF">
        <w:rPr>
          <w:rFonts w:ascii="Corbel" w:hAnsi="Corbel"/>
          <w:sz w:val="24"/>
          <w:szCs w:val="24"/>
        </w:rPr>
        <w:t>iów</w:t>
      </w:r>
    </w:p>
    <w:p w14:paraId="416F1036" w14:textId="77777777" w:rsidR="0085747A" w:rsidRPr="00BE73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E73DF" w14:paraId="5C94B666" w14:textId="77777777" w:rsidTr="00BE73DF">
        <w:tc>
          <w:tcPr>
            <w:tcW w:w="9520" w:type="dxa"/>
          </w:tcPr>
          <w:p w14:paraId="5CCDC1E8" w14:textId="77777777" w:rsidR="0085747A" w:rsidRPr="00BE73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B37FE" w:rsidRPr="00BE73DF" w14:paraId="688E4C1A" w14:textId="77777777" w:rsidTr="00BE73DF">
        <w:tc>
          <w:tcPr>
            <w:tcW w:w="9520" w:type="dxa"/>
          </w:tcPr>
          <w:p w14:paraId="50264E15" w14:textId="3D8E8438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>Pobieranie i zabezpieczanie próbek środowiskowych (</w:t>
            </w:r>
            <w:proofErr w:type="spellStart"/>
            <w:r w:rsidRPr="004B37FE">
              <w:rPr>
                <w:rStyle w:val="Pogrubienie"/>
                <w:b w:val="0"/>
                <w:bCs w:val="0"/>
              </w:rPr>
              <w:t>eDNA</w:t>
            </w:r>
            <w:proofErr w:type="spellEnd"/>
            <w:r w:rsidRPr="004B37FE">
              <w:rPr>
                <w:rStyle w:val="Pogrubienie"/>
                <w:b w:val="0"/>
                <w:bCs w:val="0"/>
              </w:rPr>
              <w:t>).</w:t>
            </w:r>
          </w:p>
        </w:tc>
      </w:tr>
      <w:tr w:rsidR="004B37FE" w:rsidRPr="00BE73DF" w14:paraId="67F7BD42" w14:textId="77777777" w:rsidTr="00BE73DF">
        <w:tc>
          <w:tcPr>
            <w:tcW w:w="9520" w:type="dxa"/>
          </w:tcPr>
          <w:p w14:paraId="180DE430" w14:textId="4861ECA5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 xml:space="preserve">Analiza danych </w:t>
            </w:r>
            <w:proofErr w:type="spellStart"/>
            <w:r w:rsidRPr="004B37FE">
              <w:rPr>
                <w:rStyle w:val="Pogrubienie"/>
                <w:b w:val="0"/>
                <w:bCs w:val="0"/>
              </w:rPr>
              <w:t>metabarkodingowych</w:t>
            </w:r>
            <w:proofErr w:type="spellEnd"/>
            <w:r w:rsidRPr="004B37FE">
              <w:rPr>
                <w:rStyle w:val="Pogrubienie"/>
                <w:b w:val="0"/>
                <w:bCs w:val="0"/>
              </w:rPr>
              <w:t xml:space="preserve"> – identyfikacja gatunków i ocena bioróżnorodności.</w:t>
            </w:r>
          </w:p>
        </w:tc>
      </w:tr>
      <w:tr w:rsidR="004B37FE" w:rsidRPr="00BE73DF" w14:paraId="3B71CBB7" w14:textId="77777777" w:rsidTr="00BE73DF">
        <w:tc>
          <w:tcPr>
            <w:tcW w:w="9520" w:type="dxa"/>
          </w:tcPr>
          <w:p w14:paraId="7B77BBEF" w14:textId="0EE9A94E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>Badanie struktury genetycznej populacji – analiza przepływu genów i domieszek.</w:t>
            </w:r>
          </w:p>
        </w:tc>
      </w:tr>
      <w:tr w:rsidR="004B37FE" w:rsidRPr="00BE73DF" w14:paraId="614DBE46" w14:textId="77777777" w:rsidTr="00BE73DF">
        <w:tc>
          <w:tcPr>
            <w:tcW w:w="9520" w:type="dxa"/>
          </w:tcPr>
          <w:p w14:paraId="7DB69A63" w14:textId="05E4C4A0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>Ocena pokrewieństwa osobników – planowanie kojarzeń w populacjach chronionych.</w:t>
            </w:r>
          </w:p>
        </w:tc>
      </w:tr>
      <w:tr w:rsidR="004B37FE" w:rsidRPr="00BE73DF" w14:paraId="05EC3571" w14:textId="77777777" w:rsidTr="00BE73DF">
        <w:tc>
          <w:tcPr>
            <w:tcW w:w="9520" w:type="dxa"/>
          </w:tcPr>
          <w:p w14:paraId="6CFECC30" w14:textId="7160D9D7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>Szacowanie liczebności efektywnej populacji i wnioskowanie o stanie zagrożenia gatunku.</w:t>
            </w:r>
          </w:p>
        </w:tc>
      </w:tr>
      <w:tr w:rsidR="004B37FE" w:rsidRPr="00BE73DF" w14:paraId="493BC3B1" w14:textId="77777777" w:rsidTr="00BE73DF">
        <w:tc>
          <w:tcPr>
            <w:tcW w:w="9520" w:type="dxa"/>
          </w:tcPr>
          <w:p w14:paraId="4A480D87" w14:textId="2EC0232C" w:rsidR="004B37FE" w:rsidRPr="004B37FE" w:rsidRDefault="004B37FE" w:rsidP="004B37F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7FE">
              <w:rPr>
                <w:rStyle w:val="Pogrubienie"/>
                <w:b w:val="0"/>
                <w:bCs w:val="0"/>
              </w:rPr>
              <w:t>Pobieranie i zabezpieczanie próbek środowiskowych (</w:t>
            </w:r>
            <w:proofErr w:type="spellStart"/>
            <w:r w:rsidRPr="004B37FE">
              <w:rPr>
                <w:rStyle w:val="Pogrubienie"/>
                <w:b w:val="0"/>
                <w:bCs w:val="0"/>
              </w:rPr>
              <w:t>eDNA</w:t>
            </w:r>
            <w:proofErr w:type="spellEnd"/>
            <w:r w:rsidRPr="004B37FE">
              <w:rPr>
                <w:rStyle w:val="Pogrubienie"/>
                <w:b w:val="0"/>
                <w:bCs w:val="0"/>
              </w:rPr>
              <w:t>).</w:t>
            </w:r>
          </w:p>
        </w:tc>
      </w:tr>
    </w:tbl>
    <w:p w14:paraId="658689CB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BE73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>3.4 Metody dydaktyczne</w:t>
      </w:r>
      <w:r w:rsidRPr="00BE73DF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3558B7" w14:textId="2232026C" w:rsidR="00153C41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>W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ykład</w:t>
      </w:r>
      <w:r w:rsidRPr="00BE73DF">
        <w:rPr>
          <w:rFonts w:ascii="Corbel" w:hAnsi="Corbel"/>
          <w:b w:val="0"/>
          <w:i/>
          <w:smallCaps w:val="0"/>
          <w:szCs w:val="24"/>
        </w:rPr>
        <w:t>:</w:t>
      </w:r>
      <w:r w:rsidR="00923D7D" w:rsidRPr="00BE73DF">
        <w:rPr>
          <w:rFonts w:ascii="Corbel" w:hAnsi="Corbel"/>
          <w:b w:val="0"/>
          <w:i/>
          <w:smallCaps w:val="0"/>
          <w:szCs w:val="24"/>
        </w:rPr>
        <w:t xml:space="preserve">,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2F99F13D" w14:textId="77777777" w:rsidR="0085747A" w:rsidRPr="00BE73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Laboratorium: </w:t>
      </w:r>
      <w:r w:rsidR="0085747A" w:rsidRPr="00BE73DF">
        <w:rPr>
          <w:rFonts w:ascii="Corbel" w:hAnsi="Corbel"/>
          <w:b w:val="0"/>
          <w:i/>
          <w:smallCaps w:val="0"/>
          <w:szCs w:val="24"/>
        </w:rPr>
        <w:t>wykonywanie doświadczeń, projektowanie doświadczeń</w:t>
      </w:r>
      <w:r w:rsidR="00BF2C41" w:rsidRPr="00BE73DF">
        <w:rPr>
          <w:rFonts w:ascii="Corbel" w:hAnsi="Corbel"/>
          <w:b w:val="0"/>
          <w:i/>
          <w:smallCaps w:val="0"/>
          <w:szCs w:val="24"/>
        </w:rPr>
        <w:t xml:space="preserve"> </w:t>
      </w:r>
    </w:p>
    <w:p w14:paraId="3FC88E9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BE73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 </w:t>
      </w:r>
      <w:r w:rsidR="0085747A" w:rsidRPr="00BE73DF">
        <w:rPr>
          <w:rFonts w:ascii="Corbel" w:hAnsi="Corbel"/>
          <w:smallCaps w:val="0"/>
          <w:szCs w:val="24"/>
        </w:rPr>
        <w:t>METODY I KRYTERIA OCENY</w:t>
      </w:r>
      <w:r w:rsidR="009F4610" w:rsidRPr="00BE73DF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BE73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BE73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E73DF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E73DF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BE73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BE73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BE73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BE73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E73DF" w14:paraId="47171445" w14:textId="77777777" w:rsidTr="00C05F44">
        <w:tc>
          <w:tcPr>
            <w:tcW w:w="1985" w:type="dxa"/>
          </w:tcPr>
          <w:p w14:paraId="4F423025" w14:textId="06C3FD70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E73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E73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528" w:type="dxa"/>
          </w:tcPr>
          <w:p w14:paraId="393DDD99" w14:textId="3D9AEB58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egzamin pisemny</w:t>
            </w:r>
          </w:p>
        </w:tc>
        <w:tc>
          <w:tcPr>
            <w:tcW w:w="2126" w:type="dxa"/>
          </w:tcPr>
          <w:p w14:paraId="156B0E7A" w14:textId="7B436103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E73DF" w14:paraId="0C8EAD6D" w14:textId="77777777" w:rsidTr="00C05F44">
        <w:tc>
          <w:tcPr>
            <w:tcW w:w="1985" w:type="dxa"/>
          </w:tcPr>
          <w:p w14:paraId="5B716C83" w14:textId="647B72C6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Ek_ 0</w:t>
            </w:r>
            <w:r w:rsidR="003025B3" w:rsidRPr="00BE73DF">
              <w:rPr>
                <w:rFonts w:ascii="Corbel" w:hAnsi="Corbel"/>
                <w:b w:val="0"/>
                <w:szCs w:val="24"/>
              </w:rPr>
              <w:t>3-05</w:t>
            </w:r>
          </w:p>
        </w:tc>
        <w:tc>
          <w:tcPr>
            <w:tcW w:w="5528" w:type="dxa"/>
          </w:tcPr>
          <w:p w14:paraId="295CC870" w14:textId="07BBDC67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E73DF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BE73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BE73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4.2 </w:t>
      </w:r>
      <w:r w:rsidR="0085747A" w:rsidRPr="00BE73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E73DF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BE73DF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381EBB92" w14:textId="77777777" w:rsidR="00C50031" w:rsidRDefault="00C50031" w:rsidP="00C50031">
      <w:pPr>
        <w:pStyle w:val="NormalnyWeb"/>
        <w:rPr>
          <w:rStyle w:val="Pogrubienie"/>
          <w:rFonts w:ascii="Corbel" w:hAnsi="Corbel"/>
          <w:b w:val="0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0E0E8FF5" w14:textId="5885DB0F" w:rsidR="00C50031" w:rsidRPr="00264D75" w:rsidRDefault="00C50031" w:rsidP="00C50031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 xml:space="preserve">Zaliczenie </w:t>
      </w:r>
      <w:r>
        <w:rPr>
          <w:rStyle w:val="Pogrubienie"/>
          <w:rFonts w:ascii="Corbel" w:hAnsi="Corbel"/>
          <w:sz w:val="22"/>
          <w:szCs w:val="22"/>
        </w:rPr>
        <w:t>laboratoriów</w:t>
      </w:r>
      <w:r w:rsidRPr="00264D75">
        <w:rPr>
          <w:rFonts w:ascii="Corbel" w:hAnsi="Corbel"/>
          <w:sz w:val="22"/>
          <w:szCs w:val="22"/>
        </w:rPr>
        <w:t>:</w:t>
      </w:r>
    </w:p>
    <w:p w14:paraId="5FB55B28" w14:textId="77777777" w:rsidR="00C50031" w:rsidRDefault="00C50031" w:rsidP="00C50031">
      <w:pPr>
        <w:pStyle w:val="Punktygwne"/>
        <w:numPr>
          <w:ilvl w:val="0"/>
          <w:numId w:val="5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4B76ED5D" w14:textId="77777777" w:rsidR="00C50031" w:rsidRPr="007E74DA" w:rsidRDefault="00C50031" w:rsidP="00C50031">
      <w:pPr>
        <w:pStyle w:val="Punktygwne"/>
        <w:numPr>
          <w:ilvl w:val="0"/>
          <w:numId w:val="5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 w:rsidRPr="00B47C6D">
        <w:rPr>
          <w:rStyle w:val="Pogrubienie"/>
          <w:rFonts w:ascii="Corbel" w:hAnsi="Corbel"/>
          <w:smallCaps w:val="0"/>
          <w:sz w:val="22"/>
        </w:rPr>
        <w:t>pozytywne oceny z kolokwiów</w:t>
      </w:r>
    </w:p>
    <w:p w14:paraId="4FE370B7" w14:textId="77777777" w:rsidR="00C50031" w:rsidRPr="007E74DA" w:rsidRDefault="00C50031" w:rsidP="00C50031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lastRenderedPageBreak/>
        <w:br/>
        <w:t xml:space="preserve">Test </w:t>
      </w:r>
      <w:r w:rsidRPr="007E74DA">
        <w:rPr>
          <w:rFonts w:ascii="Corbel" w:hAnsi="Corbel"/>
        </w:rPr>
        <w:t>(50 pytań) 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2921B9C7" w14:textId="77777777" w:rsidR="00C50031" w:rsidRDefault="00C50031" w:rsidP="00C50031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bookmarkStart w:id="0" w:name="_GoBack"/>
      <w:bookmarkEnd w:id="0"/>
      <w:r w:rsidRPr="00270C38">
        <w:rPr>
          <w:rFonts w:ascii="Corbel" w:hAnsi="Corbel"/>
          <w:b w:val="0"/>
          <w:smallCaps w:val="0"/>
          <w:szCs w:val="24"/>
        </w:rPr>
        <w:t xml:space="preserve">Zaliczenie </w:t>
      </w:r>
      <w:r>
        <w:rPr>
          <w:rFonts w:ascii="Corbel" w:hAnsi="Corbel"/>
          <w:b w:val="0"/>
          <w:smallCaps w:val="0"/>
          <w:szCs w:val="24"/>
        </w:rPr>
        <w:t>konwersatoriów</w:t>
      </w:r>
      <w:r w:rsidRPr="00270C38">
        <w:rPr>
          <w:rFonts w:ascii="Corbel" w:hAnsi="Corbel"/>
          <w:b w:val="0"/>
          <w:smallCaps w:val="0"/>
          <w:szCs w:val="24"/>
        </w:rPr>
        <w:t xml:space="preserve">  odbywa się na podstawie uzyskan</w:t>
      </w:r>
      <w:r>
        <w:rPr>
          <w:rFonts w:ascii="Corbel" w:hAnsi="Corbel"/>
          <w:b w:val="0"/>
          <w:smallCaps w:val="0"/>
          <w:szCs w:val="24"/>
        </w:rPr>
        <w:t>ych pozytywnych ocen z kolokwiów</w:t>
      </w:r>
      <w:r w:rsidRPr="00270C38">
        <w:rPr>
          <w:rFonts w:ascii="Corbel" w:hAnsi="Corbel"/>
          <w:b w:val="0"/>
          <w:smallCaps w:val="0"/>
          <w:szCs w:val="24"/>
        </w:rPr>
        <w:t xml:space="preserve"> i przygotowania prezentacji tematycznej.</w:t>
      </w:r>
    </w:p>
    <w:p w14:paraId="0DE0D479" w14:textId="77777777" w:rsidR="00C50031" w:rsidRDefault="00C50031" w:rsidP="00C50031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543DCE2" w14:textId="77777777" w:rsidR="00C50031" w:rsidRDefault="00C50031" w:rsidP="00C50031">
      <w:pPr>
        <w:pStyle w:val="Punktygwne"/>
        <w:spacing w:before="0" w:after="0"/>
        <w:rPr>
          <w:rStyle w:val="Pogrubienie"/>
          <w:rFonts w:ascii="Corbel" w:hAnsi="Corbel"/>
          <w:b/>
          <w:smallCaps w:val="0"/>
          <w:sz w:val="22"/>
        </w:rPr>
      </w:pPr>
      <w:r w:rsidRPr="007E74DA">
        <w:rPr>
          <w:rStyle w:val="Pogrubienie"/>
          <w:rFonts w:ascii="Corbel" w:hAnsi="Corbel"/>
          <w:b/>
          <w:smallCaps w:val="0"/>
          <w:sz w:val="22"/>
        </w:rPr>
        <w:t>Egzamin końcowy</w:t>
      </w:r>
    </w:p>
    <w:p w14:paraId="177D830D" w14:textId="77777777" w:rsidR="00C50031" w:rsidRPr="007E74DA" w:rsidRDefault="00C50031" w:rsidP="00C50031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t xml:space="preserve">Test </w:t>
      </w:r>
      <w:r w:rsidRPr="007E74DA">
        <w:rPr>
          <w:rFonts w:ascii="Corbel" w:hAnsi="Corbel"/>
        </w:rPr>
        <w:t>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r w:rsidRPr="007E74DA">
        <w:rPr>
          <w:rFonts w:ascii="Corbel" w:hAnsi="Corbel"/>
          <w:sz w:val="22"/>
          <w:szCs w:val="22"/>
        </w:rPr>
        <w:t xml:space="preserve">o ocenie decyduje liczba uzyskanych punktów: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45193EFF" w14:textId="77777777" w:rsidR="00C50031" w:rsidRPr="00270C38" w:rsidRDefault="00C50031" w:rsidP="00C50031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270C38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39FDD5A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BE73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E73DF">
        <w:rPr>
          <w:rFonts w:ascii="Corbel" w:hAnsi="Corbel"/>
          <w:b/>
          <w:sz w:val="24"/>
          <w:szCs w:val="24"/>
        </w:rPr>
        <w:t xml:space="preserve">5. </w:t>
      </w:r>
      <w:r w:rsidR="00C61DC5" w:rsidRPr="00BE73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BE73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E73DF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E73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E73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E73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E73DF" w14:paraId="0CF305C2" w14:textId="77777777" w:rsidTr="00923D7D">
        <w:tc>
          <w:tcPr>
            <w:tcW w:w="4962" w:type="dxa"/>
          </w:tcPr>
          <w:p w14:paraId="343EC432" w14:textId="77777777" w:rsidR="0085747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E73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E73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E73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6D7FBA7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24</w:t>
            </w:r>
          </w:p>
        </w:tc>
      </w:tr>
      <w:tr w:rsidR="00C61DC5" w:rsidRPr="00BE73DF" w14:paraId="20277FE6" w14:textId="77777777" w:rsidTr="00923D7D">
        <w:tc>
          <w:tcPr>
            <w:tcW w:w="4962" w:type="dxa"/>
          </w:tcPr>
          <w:p w14:paraId="62308BA3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E73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BE73DF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E73DF" w14:paraId="3B848AC5" w14:textId="77777777" w:rsidTr="00923D7D">
        <w:tc>
          <w:tcPr>
            <w:tcW w:w="4962" w:type="dxa"/>
          </w:tcPr>
          <w:p w14:paraId="26626EED" w14:textId="77777777" w:rsidR="0071620A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E73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E73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BE73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2A8C2895" w:rsidR="00C61DC5" w:rsidRPr="00BE73DF" w:rsidRDefault="00606C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26</w:t>
            </w:r>
          </w:p>
        </w:tc>
      </w:tr>
      <w:tr w:rsidR="0085747A" w:rsidRPr="00BE73DF" w14:paraId="4590AAD5" w14:textId="77777777" w:rsidTr="00923D7D">
        <w:tc>
          <w:tcPr>
            <w:tcW w:w="4962" w:type="dxa"/>
          </w:tcPr>
          <w:p w14:paraId="66CC8E37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7A82B90F" w:rsidR="0085747A" w:rsidRPr="00BE73DF" w:rsidRDefault="00606C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BE73DF" w14:paraId="70B6D349" w14:textId="77777777" w:rsidTr="00923D7D">
        <w:tc>
          <w:tcPr>
            <w:tcW w:w="4962" w:type="dxa"/>
          </w:tcPr>
          <w:p w14:paraId="59F6954E" w14:textId="77777777" w:rsidR="0085747A" w:rsidRPr="00BE73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E73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2960EF0B" w:rsidR="0085747A" w:rsidRPr="00BE73DF" w:rsidRDefault="00BE73D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E73DF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30D485D1" w14:textId="77777777" w:rsidR="0085747A" w:rsidRPr="00BE73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E73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E73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BE73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BE73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6. </w:t>
      </w:r>
      <w:r w:rsidR="0085747A" w:rsidRPr="00BE73DF">
        <w:rPr>
          <w:rFonts w:ascii="Corbel" w:hAnsi="Corbel"/>
          <w:smallCaps w:val="0"/>
          <w:szCs w:val="24"/>
        </w:rPr>
        <w:t>PRAKTYKI ZAWO</w:t>
      </w:r>
      <w:r w:rsidR="009D3F3B" w:rsidRPr="00BE73DF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BE73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E73DF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E73DF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BE73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BE73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E73DF">
        <w:rPr>
          <w:rFonts w:ascii="Corbel" w:hAnsi="Corbel"/>
          <w:smallCaps w:val="0"/>
          <w:szCs w:val="24"/>
        </w:rPr>
        <w:t xml:space="preserve">7. </w:t>
      </w:r>
      <w:r w:rsidR="0085747A" w:rsidRPr="00BE73DF">
        <w:rPr>
          <w:rFonts w:ascii="Corbel" w:hAnsi="Corbel"/>
          <w:smallCaps w:val="0"/>
          <w:szCs w:val="24"/>
        </w:rPr>
        <w:t>LITERATURA</w:t>
      </w:r>
      <w:r w:rsidRPr="00BE73DF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BE73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E73DF" w14:paraId="47D5C91F" w14:textId="77777777" w:rsidTr="0071620A">
        <w:trPr>
          <w:trHeight w:val="397"/>
        </w:trPr>
        <w:tc>
          <w:tcPr>
            <w:tcW w:w="7513" w:type="dxa"/>
          </w:tcPr>
          <w:p w14:paraId="5B362AF9" w14:textId="77777777" w:rsidR="0085747A" w:rsidRPr="001372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Literatura</w:t>
            </w:r>
            <w:proofErr w:type="spellEnd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podstawowa</w:t>
            </w:r>
            <w:proofErr w:type="spellEnd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:</w:t>
            </w:r>
          </w:p>
          <w:p w14:paraId="3E93B732" w14:textId="53D0A36F" w:rsidR="004B37FE" w:rsidRPr="00BE73DF" w:rsidRDefault="004B37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B37FE">
              <w:rPr>
                <w:rFonts w:ascii="Corbel" w:hAnsi="Corbel"/>
                <w:b w:val="0"/>
                <w:smallCaps w:val="0"/>
                <w:szCs w:val="24"/>
                <w:lang w:val="pt-PT"/>
              </w:rPr>
              <w:t>Çevik, T., Çevik, N. Environmental DNA (eDNA): A review of ecosystem biodiversity detection and applications. </w:t>
            </w:r>
            <w:proofErr w:type="spellStart"/>
            <w:r w:rsidRPr="004B37FE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Biodivers</w:t>
            </w:r>
            <w:proofErr w:type="spellEnd"/>
            <w:r w:rsidRPr="004B37FE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 xml:space="preserve"> </w:t>
            </w:r>
            <w:proofErr w:type="spellStart"/>
            <w:r w:rsidRPr="004B37FE">
              <w:rPr>
                <w:rFonts w:ascii="Corbel" w:hAnsi="Corbel"/>
                <w:b w:val="0"/>
                <w:i/>
                <w:iCs/>
                <w:smallCaps w:val="0"/>
                <w:szCs w:val="24"/>
              </w:rPr>
              <w:t>Conserv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 </w:t>
            </w:r>
            <w:r w:rsidRPr="004B37FE">
              <w:rPr>
                <w:rFonts w:ascii="Corbel" w:hAnsi="Corbel"/>
                <w:b w:val="0"/>
                <w:bCs/>
                <w:smallCaps w:val="0"/>
                <w:szCs w:val="24"/>
              </w:rPr>
              <w:t>34</w:t>
            </w:r>
            <w:r w:rsidRPr="004B37FE">
              <w:rPr>
                <w:rFonts w:ascii="Corbel" w:hAnsi="Corbel"/>
                <w:b w:val="0"/>
                <w:smallCaps w:val="0"/>
                <w:szCs w:val="24"/>
              </w:rPr>
              <w:t>, 2999–3035 (2025). https://doi.org/10.1007/s10531-025-03112-y</w:t>
            </w:r>
          </w:p>
          <w:p w14:paraId="3343F940" w14:textId="77777777" w:rsidR="003025B3" w:rsidRPr="00BE73DF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„Podstawy biologii molekularnej”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Lizabeth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Wydawnictwa Uniwersytetu Warszawskiego, 2009.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„Biologia molekularna – krótkie wykłady” P. C. Turner, A. G.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McLennan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A. D. Bates, M. R. H. White, wydanie trzecie zm., Wydawnictwo Naukowe 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PWN, 2012.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>„Biologia molekularna w medycynie” J. Bal (red.), wydanie trzecie zm., Wydawnictwo Naukowe PWN, 2013.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„Biochemia” Berg J.M.,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Tymoczko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J.L.,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Stryer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L., PWN, Warszawa, 2009.</w:t>
            </w: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 – krótkie wykłady”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Hames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B.D., Hooper N.M., wydanie trzecie popraw., Wydawnictwo Naukowe PWN, Warszawa, 2012.</w:t>
            </w:r>
          </w:p>
          <w:p w14:paraId="52D17080" w14:textId="3BD6FA61" w:rsidR="00BE73DF" w:rsidRPr="00BE73DF" w:rsidRDefault="00BE73D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„Ekologia molekularna” </w:t>
            </w:r>
            <w:proofErr w:type="spellStart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Freeland</w:t>
            </w:r>
            <w:proofErr w:type="spellEnd"/>
            <w:r w:rsidRPr="00BE73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 PWN 2021</w:t>
            </w:r>
          </w:p>
        </w:tc>
      </w:tr>
      <w:tr w:rsidR="0085747A" w:rsidRPr="00C50031" w14:paraId="3F402BB1" w14:textId="77777777" w:rsidTr="0071620A">
        <w:trPr>
          <w:trHeight w:val="397"/>
        </w:trPr>
        <w:tc>
          <w:tcPr>
            <w:tcW w:w="7513" w:type="dxa"/>
          </w:tcPr>
          <w:p w14:paraId="2D7D57B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E73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664BBD35" w14:textId="5400E1C8" w:rsidR="004B37FE" w:rsidRPr="001372B1" w:rsidRDefault="004B37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Valentini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A,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Taberlet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P,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Miaud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C,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Civade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R, Herder J,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Thomsen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PF,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Bellemain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E,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Besnard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A,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Coissac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E,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Boyer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F,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Gaboriaud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C, Jean P,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Poulet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N,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Roset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N,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Copp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GH,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Geniez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P, Pont D,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Argillier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C,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Baudoin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JM,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Peroux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T,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Crivelli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AJ, Olivier A,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Acqueberge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M, Le Brun M,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Møller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PR,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Willerslev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E,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Dejean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T.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Next-generation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monitoring of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aquatic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biodiversity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using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environmental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 DNA </w:t>
            </w:r>
            <w:proofErr w:type="spellStart"/>
            <w:r w:rsidRPr="004B37FE">
              <w:rPr>
                <w:rFonts w:ascii="Corbel" w:hAnsi="Corbel"/>
                <w:b w:val="0"/>
                <w:smallCaps w:val="0"/>
                <w:szCs w:val="24"/>
              </w:rPr>
              <w:t>metabarcoding</w:t>
            </w:r>
            <w:proofErr w:type="spellEnd"/>
            <w:r w:rsidRPr="004B37FE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proofErr w:type="spellStart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Mol</w:t>
            </w:r>
            <w:proofErr w:type="spellEnd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Ecol. 2016 Feb;25(4):929-42. </w:t>
            </w:r>
            <w:proofErr w:type="spellStart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doi</w:t>
            </w:r>
            <w:proofErr w:type="spellEnd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: 10.1111/mec.13428. </w:t>
            </w:r>
            <w:proofErr w:type="spellStart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Epub</w:t>
            </w:r>
            <w:proofErr w:type="spellEnd"/>
            <w:r w:rsidRPr="001372B1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2016 Jan 18. PMID: 26479867.</w:t>
            </w:r>
          </w:p>
          <w:p w14:paraId="14BFC492" w14:textId="462B0959" w:rsidR="003025B3" w:rsidRPr="004B37FE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</w:pPr>
            <w:r w:rsidRPr="004B37FE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t>„Genomes” T.A. Brown, Garland Science, 2002.</w:t>
            </w:r>
          </w:p>
          <w:p w14:paraId="1BE4E24B" w14:textId="77777777" w:rsidR="003025B3" w:rsidRPr="001372B1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</w:pPr>
            <w:r w:rsidRPr="001372B1">
              <w:rPr>
                <w:rFonts w:ascii="Corbel" w:hAnsi="Corbel"/>
                <w:b w:val="0"/>
                <w:i/>
                <w:color w:val="000000"/>
                <w:szCs w:val="24"/>
                <w:lang w:val="en-GB"/>
              </w:rPr>
              <w:t>https://ncbi.nlm.nih.gov/books/bv.fcgi?rid=genomes</w:t>
            </w:r>
          </w:p>
          <w:p w14:paraId="6F91964E" w14:textId="26C4C0E1" w:rsidR="003025B3" w:rsidRPr="001372B1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</w:p>
        </w:tc>
      </w:tr>
    </w:tbl>
    <w:p w14:paraId="1BD8FACC" w14:textId="77777777" w:rsidR="0085747A" w:rsidRPr="001372B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6E1A2140" w14:textId="77777777" w:rsidR="0085747A" w:rsidRPr="001372B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14:paraId="7B7A767A" w14:textId="77777777" w:rsidR="0085747A" w:rsidRPr="00BE73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E73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E73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4B39E" w14:textId="77777777" w:rsidR="00EE2B77" w:rsidRDefault="00EE2B77" w:rsidP="00C16ABF">
      <w:pPr>
        <w:spacing w:after="0" w:line="240" w:lineRule="auto"/>
      </w:pPr>
      <w:r>
        <w:separator/>
      </w:r>
    </w:p>
  </w:endnote>
  <w:endnote w:type="continuationSeparator" w:id="0">
    <w:p w14:paraId="01BFBC93" w14:textId="77777777" w:rsidR="00EE2B77" w:rsidRDefault="00EE2B7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C2288" w14:textId="77777777" w:rsidR="00EE2B77" w:rsidRDefault="00EE2B77" w:rsidP="00C16ABF">
      <w:pPr>
        <w:spacing w:after="0" w:line="240" w:lineRule="auto"/>
      </w:pPr>
      <w:r>
        <w:separator/>
      </w:r>
    </w:p>
  </w:footnote>
  <w:footnote w:type="continuationSeparator" w:id="0">
    <w:p w14:paraId="051F52E5" w14:textId="77777777" w:rsidR="00EE2B77" w:rsidRDefault="00EE2B77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637B1"/>
    <w:multiLevelType w:val="multilevel"/>
    <w:tmpl w:val="731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372B1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47B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7BC1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1D27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7FE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1DD8"/>
    <w:rsid w:val="00524FB4"/>
    <w:rsid w:val="005363C4"/>
    <w:rsid w:val="00536BDE"/>
    <w:rsid w:val="00543ACC"/>
    <w:rsid w:val="00552CC5"/>
    <w:rsid w:val="0056696D"/>
    <w:rsid w:val="00567D4C"/>
    <w:rsid w:val="005737FE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06C7A"/>
    <w:rsid w:val="0061029B"/>
    <w:rsid w:val="00617230"/>
    <w:rsid w:val="00621CE1"/>
    <w:rsid w:val="00627FC9"/>
    <w:rsid w:val="006365CA"/>
    <w:rsid w:val="00647FA8"/>
    <w:rsid w:val="00650C5F"/>
    <w:rsid w:val="00654934"/>
    <w:rsid w:val="006620D9"/>
    <w:rsid w:val="00671958"/>
    <w:rsid w:val="00672595"/>
    <w:rsid w:val="00675843"/>
    <w:rsid w:val="00696477"/>
    <w:rsid w:val="006D050F"/>
    <w:rsid w:val="006D6139"/>
    <w:rsid w:val="006E5D65"/>
    <w:rsid w:val="006F1282"/>
    <w:rsid w:val="006F1FBC"/>
    <w:rsid w:val="006F31E2"/>
    <w:rsid w:val="006F5398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7F4B81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6208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3DF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0031"/>
    <w:rsid w:val="00C56036"/>
    <w:rsid w:val="00C61DC5"/>
    <w:rsid w:val="00C67E92"/>
    <w:rsid w:val="00C70A26"/>
    <w:rsid w:val="00C766DF"/>
    <w:rsid w:val="00C851C0"/>
    <w:rsid w:val="00C8746F"/>
    <w:rsid w:val="00C94B98"/>
    <w:rsid w:val="00CA2B96"/>
    <w:rsid w:val="00CA5089"/>
    <w:rsid w:val="00CD6897"/>
    <w:rsid w:val="00CE5BAC"/>
    <w:rsid w:val="00CF25BE"/>
    <w:rsid w:val="00CF78ED"/>
    <w:rsid w:val="00CF7F86"/>
    <w:rsid w:val="00D02B25"/>
    <w:rsid w:val="00D02EBA"/>
    <w:rsid w:val="00D142CD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2B77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19FA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C50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3C71-03A3-4ECB-8617-10C07C83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22</TotalTime>
  <Pages>5</Pages>
  <Words>1076</Words>
  <Characters>7501</Characters>
  <Application>Microsoft Office Word</Application>
  <DocSecurity>0</DocSecurity>
  <Lines>138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9</cp:revision>
  <cp:lastPrinted>2019-02-06T12:12:00Z</cp:lastPrinted>
  <dcterms:created xsi:type="dcterms:W3CDTF">2025-10-27T19:45:00Z</dcterms:created>
  <dcterms:modified xsi:type="dcterms:W3CDTF">2026-02-10T15:37:00Z</dcterms:modified>
</cp:coreProperties>
</file>