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262DC">
        <w:rPr>
          <w:rFonts w:ascii="Corbel" w:hAnsi="Corbel"/>
          <w:i/>
          <w:smallCaps/>
          <w:sz w:val="24"/>
          <w:szCs w:val="24"/>
        </w:rPr>
        <w:t>2026/2027</w:t>
      </w:r>
      <w:r w:rsidR="00F86037">
        <w:rPr>
          <w:rFonts w:ascii="Corbel" w:hAnsi="Corbel"/>
          <w:i/>
          <w:smallCaps/>
          <w:sz w:val="24"/>
          <w:szCs w:val="24"/>
        </w:rPr>
        <w:t>-2028/2029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</w:t>
      </w:r>
      <w:r w:rsidR="000262DC">
        <w:rPr>
          <w:rFonts w:ascii="Corbel" w:hAnsi="Corbel"/>
          <w:sz w:val="20"/>
          <w:szCs w:val="20"/>
        </w:rPr>
        <w:t>ok akademicki   202</w:t>
      </w:r>
      <w:r w:rsidR="009677F6">
        <w:rPr>
          <w:rFonts w:ascii="Corbel" w:hAnsi="Corbel"/>
          <w:sz w:val="20"/>
          <w:szCs w:val="20"/>
        </w:rPr>
        <w:t>7/2028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B22DC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Wstęp do socjobiologii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B169DF" w:rsidRDefault="000262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20C20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B169DF" w:rsidRDefault="00B22DC7" w:rsidP="00B20C2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Wydział Biologii, Ochrony Przyrody i </w:t>
            </w:r>
            <w:r w:rsidR="00B20C20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B169DF" w:rsidRDefault="000262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B169DF" w:rsidRDefault="000262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B169DF" w:rsidRDefault="000262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B169DF" w:rsidRDefault="000262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B169DF" w:rsidRDefault="00C03E2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B22DC7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I, semestr I</w:t>
            </w:r>
            <w:r w:rsidR="00B22DC7">
              <w:rPr>
                <w:rFonts w:ascii="Corbel" w:hAnsi="Corbel"/>
                <w:b w:val="0"/>
                <w:sz w:val="24"/>
                <w:szCs w:val="24"/>
              </w:rPr>
              <w:t>V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B22DC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:rsidTr="00B819C8">
        <w:tc>
          <w:tcPr>
            <w:tcW w:w="2694" w:type="dxa"/>
            <w:vAlign w:val="center"/>
          </w:tcPr>
          <w:p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B169DF" w:rsidRDefault="000262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B22DC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Ewa Węgrzyn,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B22DC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Ewa Węgrzyn, prof. UR , dr hab. Konrad Leniowski, prof. UR, mgr.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Kuchtar</w:t>
            </w:r>
            <w:proofErr w:type="spellEnd"/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03E23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03E23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C03E2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</w:t>
            </w:r>
            <w:r w:rsidR="00653945"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22DC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22DC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22DC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C03E23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</w:t>
      </w:r>
      <w:r w:rsidRPr="009677F6">
        <w:rPr>
          <w:rFonts w:ascii="Corbel" w:hAnsi="Corbel"/>
          <w:b w:val="0"/>
          <w:smallCaps w:val="0"/>
          <w:szCs w:val="24"/>
        </w:rPr>
        <w:t>)</w:t>
      </w:r>
      <w:r w:rsidR="00C03E23" w:rsidRPr="009677F6">
        <w:rPr>
          <w:rFonts w:ascii="Corbel" w:hAnsi="Corbel"/>
          <w:b w:val="0"/>
          <w:smallCaps w:val="0"/>
          <w:szCs w:val="24"/>
        </w:rPr>
        <w:t>: Egzamin</w:t>
      </w:r>
      <w:r w:rsidR="009677F6" w:rsidRPr="009677F6">
        <w:rPr>
          <w:rFonts w:ascii="Corbel" w:hAnsi="Corbel"/>
          <w:b w:val="0"/>
          <w:smallCaps w:val="0"/>
          <w:szCs w:val="24"/>
        </w:rPr>
        <w:t>, zaliczenie z oceną z ćwiczeń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B22DC7" w:rsidRDefault="00C03E23" w:rsidP="00B22DC7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posiada wiedzę </w:t>
            </w:r>
            <w:r w:rsid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z podstaw socjologii, biologii </w:t>
            </w:r>
            <w:proofErr w:type="spellStart"/>
            <w:r w:rsid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zachowań</w:t>
            </w:r>
            <w:proofErr w:type="spellEnd"/>
            <w:r w:rsid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zwierząt oraz ekologii behawioralnej. </w:t>
            </w:r>
          </w:p>
          <w:p w:rsidR="0085747A" w:rsidRPr="00B169DF" w:rsidRDefault="00C03E23" w:rsidP="00B22DC7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C03E2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posiada </w:t>
            </w:r>
            <w:r w:rsidRPr="00C03E2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umiejętność czytania ze zrozumieniem tekstów popularnonaukowych i naukowych w języku polskim, formułowania wypowiedzi ustnych i pisemnych oraz gotowość </w:t>
            </w:r>
            <w:r w:rsidRPr="00C03E2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do refleksji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B22DC7" w:rsidRP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nad ewolucyjnymi i biologicznymi uwarunkowaniami </w:t>
            </w:r>
            <w:proofErr w:type="spellStart"/>
            <w:r w:rsidR="00B22DC7" w:rsidRP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zachowań</w:t>
            </w:r>
            <w:proofErr w:type="spellEnd"/>
            <w:r w:rsidR="00B22DC7" w:rsidRP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społecznych ludzi i innych organizmów</w:t>
            </w:r>
            <w:r w:rsidR="00B22DC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 </w:t>
            </w: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B22DC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22DC7">
              <w:rPr>
                <w:rFonts w:ascii="Corbel" w:hAnsi="Corbel"/>
                <w:b w:val="0"/>
                <w:sz w:val="24"/>
                <w:szCs w:val="24"/>
              </w:rPr>
              <w:t>Przedstawienie podstawowych założeń, pojęć i historii rozwoju socjobiologii oraz jej miejsca wśród nauk biologicznych i społecznych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C03E23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B22DC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22DC7">
              <w:rPr>
                <w:rFonts w:ascii="Corbel" w:hAnsi="Corbel"/>
                <w:b w:val="0"/>
                <w:sz w:val="24"/>
                <w:szCs w:val="24"/>
              </w:rPr>
              <w:t xml:space="preserve">Zapoznanie studentów z ewolucyjnymi i genetycznymi uwarunkowaniami </w:t>
            </w:r>
            <w:proofErr w:type="spellStart"/>
            <w:r w:rsidRPr="00B22DC7">
              <w:rPr>
                <w:rFonts w:ascii="Corbel" w:hAnsi="Corbel"/>
                <w:b w:val="0"/>
                <w:sz w:val="24"/>
                <w:szCs w:val="24"/>
              </w:rPr>
              <w:t>zachowań</w:t>
            </w:r>
            <w:proofErr w:type="spellEnd"/>
            <w:r w:rsidRPr="00B22DC7">
              <w:rPr>
                <w:rFonts w:ascii="Corbel" w:hAnsi="Corbel"/>
                <w:b w:val="0"/>
                <w:sz w:val="24"/>
                <w:szCs w:val="24"/>
              </w:rPr>
              <w:t xml:space="preserve"> społecznych ludzi i innych organizmów (dobór krewniaczy, altruizm, kooperacja, agresja, strategie rozrodcze)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6A3DA2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:rsidR="0085747A" w:rsidRPr="00B169DF" w:rsidRDefault="00B22DC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22DC7">
              <w:rPr>
                <w:rFonts w:ascii="Corbel" w:hAnsi="Corbel"/>
                <w:b w:val="0"/>
                <w:sz w:val="24"/>
                <w:szCs w:val="24"/>
              </w:rPr>
              <w:t>Ukazanie związków między mechanizmami biologicznymi (geny, dobór naturalny, dobór płciowy) a zjawiskami społecznymi, z uwzględnieniem kontrowersji i ograniczeń podejścia socjobiologicznego</w:t>
            </w:r>
          </w:p>
        </w:tc>
      </w:tr>
      <w:tr w:rsidR="006A3DA2" w:rsidRPr="00B169DF" w:rsidTr="00923D7D">
        <w:tc>
          <w:tcPr>
            <w:tcW w:w="851" w:type="dxa"/>
            <w:vAlign w:val="center"/>
          </w:tcPr>
          <w:p w:rsidR="006A3DA2" w:rsidRPr="00B169DF" w:rsidRDefault="006A3DA2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:rsidR="006A3DA2" w:rsidRPr="00B169DF" w:rsidRDefault="00802ACB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02ACB">
              <w:rPr>
                <w:rFonts w:ascii="Corbel" w:hAnsi="Corbel"/>
                <w:b w:val="0"/>
                <w:sz w:val="24"/>
                <w:szCs w:val="24"/>
              </w:rPr>
              <w:t xml:space="preserve">Rozwijanie umiejętności krytycznej analizy tekstów naukowych z zakresu socjobiologii oraz interpretowania </w:t>
            </w:r>
            <w:proofErr w:type="spellStart"/>
            <w:r w:rsidRPr="00802ACB">
              <w:rPr>
                <w:rFonts w:ascii="Corbel" w:hAnsi="Corbel"/>
                <w:b w:val="0"/>
                <w:sz w:val="24"/>
                <w:szCs w:val="24"/>
              </w:rPr>
              <w:t>zachowań</w:t>
            </w:r>
            <w:proofErr w:type="spellEnd"/>
            <w:r w:rsidRPr="00802ACB">
              <w:rPr>
                <w:rFonts w:ascii="Corbel" w:hAnsi="Corbel"/>
                <w:b w:val="0"/>
                <w:sz w:val="24"/>
                <w:szCs w:val="24"/>
              </w:rPr>
              <w:t xml:space="preserve"> społecznych w perspektywie ewolucyjnej, z poszanowaniem zasad poprawnego wnioskowania</w:t>
            </w:r>
          </w:p>
        </w:tc>
      </w:tr>
      <w:tr w:rsidR="00C03E23" w:rsidRPr="00B169DF" w:rsidTr="00923D7D">
        <w:tc>
          <w:tcPr>
            <w:tcW w:w="851" w:type="dxa"/>
            <w:vAlign w:val="center"/>
          </w:tcPr>
          <w:p w:rsidR="00C03E23" w:rsidRPr="00B169DF" w:rsidRDefault="006A3DA2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:rsidR="00C03E23" w:rsidRPr="00B169DF" w:rsidRDefault="00802ACB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02ACB">
              <w:rPr>
                <w:rFonts w:ascii="Corbel" w:hAnsi="Corbel"/>
                <w:b w:val="0"/>
                <w:sz w:val="24"/>
                <w:szCs w:val="24"/>
              </w:rPr>
              <w:t>Kształtowanie refleksji nad etycznymi, społecznymi i środowiskowymi konsekwencjami wykorzystania wiedzy socjobiologicznej, w tym jej znaczenia dla rozumienia zrównoważonego rozwoju i relacji człowiek–środowisko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:rsidTr="00802ACB">
        <w:tc>
          <w:tcPr>
            <w:tcW w:w="1680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802ACB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:rsidR="0085747A" w:rsidRPr="00B169DF" w:rsidRDefault="006A3D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zna i rozumie podstawowe pojęcia, założenia teoretyczne oraz główne kierunki rozwoju </w:t>
            </w:r>
            <w:r w:rsidR="00E154D5" w:rsidRPr="00802ACB">
              <w:rPr>
                <w:rFonts w:ascii="Corbel" w:hAnsi="Corbel"/>
                <w:b w:val="0"/>
                <w:smallCaps w:val="0"/>
                <w:szCs w:val="24"/>
              </w:rPr>
              <w:t>socjobiologii</w:t>
            </w:r>
          </w:p>
        </w:tc>
        <w:tc>
          <w:tcPr>
            <w:tcW w:w="1865" w:type="dxa"/>
          </w:tcPr>
          <w:p w:rsidR="0085747A" w:rsidRPr="00B169DF" w:rsidRDefault="00E154D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</w:tc>
      </w:tr>
      <w:tr w:rsidR="0085747A" w:rsidRPr="00B169DF" w:rsidTr="00802ACB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:rsidR="0085747A" w:rsidRPr="00B169DF" w:rsidRDefault="006A3DA2" w:rsidP="00802AC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Pr="006A3DA2">
              <w:rPr>
                <w:rFonts w:ascii="Corbel" w:hAnsi="Corbel"/>
                <w:b w:val="0"/>
                <w:smallCaps w:val="0"/>
                <w:szCs w:val="24"/>
              </w:rPr>
              <w:t xml:space="preserve">zna </w:t>
            </w:r>
            <w:r w:rsidR="00802ACB">
              <w:rPr>
                <w:rFonts w:ascii="Corbel" w:hAnsi="Corbel"/>
                <w:b w:val="0"/>
                <w:smallCaps w:val="0"/>
                <w:szCs w:val="24"/>
              </w:rPr>
              <w:t xml:space="preserve">i rozumie 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>ewolucyjn</w:t>
            </w:r>
            <w:r w:rsidR="00802ACB"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 i genetyczn</w:t>
            </w:r>
            <w:r w:rsidR="00802ACB"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 mechanizm</w:t>
            </w:r>
            <w:r w:rsidR="00802ACB">
              <w:rPr>
                <w:rFonts w:ascii="Corbel" w:hAnsi="Corbel"/>
                <w:b w:val="0"/>
                <w:smallCaps w:val="0"/>
                <w:szCs w:val="24"/>
              </w:rPr>
              <w:t>y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 leżąc</w:t>
            </w:r>
            <w:r w:rsidR="00802ACB"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 u podstaw </w:t>
            </w:r>
            <w:proofErr w:type="spellStart"/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>zachowań</w:t>
            </w:r>
            <w:proofErr w:type="spellEnd"/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 społecznych ludzi i innych organizmów (m.in. dobór krewniaczy, altruizm, kooperacja, agresja, strategie rozrodcze)</w:t>
            </w:r>
          </w:p>
        </w:tc>
        <w:tc>
          <w:tcPr>
            <w:tcW w:w="1865" w:type="dxa"/>
          </w:tcPr>
          <w:p w:rsidR="0085747A" w:rsidRPr="00B169DF" w:rsidRDefault="00E154D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</w:tc>
      </w:tr>
      <w:tr w:rsidR="0085747A" w:rsidRPr="00B169DF" w:rsidTr="00802ACB">
        <w:tc>
          <w:tcPr>
            <w:tcW w:w="1680" w:type="dxa"/>
          </w:tcPr>
          <w:p w:rsidR="0085747A" w:rsidRPr="00B169DF" w:rsidRDefault="006A3D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:rsidR="0085747A" w:rsidRPr="00B169DF" w:rsidRDefault="006A3D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>potrafi interpretować wybrane zachowania społeczne ludzi i zwierząt z perspektywy socjobiologicznej, wskazując możliwe korzyści adaptacyjne oraz ograniczenia takiego ujęcia</w:t>
            </w:r>
          </w:p>
        </w:tc>
        <w:tc>
          <w:tcPr>
            <w:tcW w:w="1865" w:type="dxa"/>
          </w:tcPr>
          <w:p w:rsidR="0085747A" w:rsidRPr="00B169DF" w:rsidRDefault="00E154D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K_w08, K_W09, K_W10</w:t>
            </w:r>
            <w:r w:rsidR="007429C6">
              <w:rPr>
                <w:rFonts w:ascii="Corbel" w:hAnsi="Corbel"/>
                <w:b w:val="0"/>
                <w:smallCaps w:val="0"/>
                <w:szCs w:val="24"/>
              </w:rPr>
              <w:t>, K_U06</w:t>
            </w:r>
          </w:p>
        </w:tc>
      </w:tr>
      <w:tr w:rsidR="006A3DA2" w:rsidRPr="00B169DF" w:rsidTr="00802ACB">
        <w:tc>
          <w:tcPr>
            <w:tcW w:w="1680" w:type="dxa"/>
          </w:tcPr>
          <w:p w:rsidR="006A3DA2" w:rsidRDefault="006A3D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5" w:type="dxa"/>
          </w:tcPr>
          <w:p w:rsidR="006A3DA2" w:rsidRDefault="006A3D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>potrafi łączyć perspektywę socjobiologiczną z analizą problemów zrównoważonego rozwoju i relacji człowiek–środowisko (np. w odniesieniu do współpracy, altruizmu, korzystania ze wspólnych zasobów)</w:t>
            </w:r>
          </w:p>
        </w:tc>
        <w:tc>
          <w:tcPr>
            <w:tcW w:w="1865" w:type="dxa"/>
          </w:tcPr>
          <w:p w:rsidR="006A3DA2" w:rsidRPr="00B169DF" w:rsidRDefault="00E154D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  <w:r w:rsidR="007429C6">
              <w:rPr>
                <w:rFonts w:ascii="Corbel" w:hAnsi="Corbel"/>
                <w:b w:val="0"/>
                <w:smallCaps w:val="0"/>
                <w:szCs w:val="24"/>
              </w:rPr>
              <w:t>, K_U06, K_K07</w:t>
            </w:r>
          </w:p>
        </w:tc>
      </w:tr>
      <w:tr w:rsidR="006A3DA2" w:rsidRPr="00B169DF" w:rsidTr="00802ACB">
        <w:tc>
          <w:tcPr>
            <w:tcW w:w="1680" w:type="dxa"/>
          </w:tcPr>
          <w:p w:rsidR="006A3DA2" w:rsidRDefault="006A3DA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5" w:type="dxa"/>
          </w:tcPr>
          <w:p w:rsidR="006A3DA2" w:rsidRDefault="006A3DA2" w:rsidP="00802AC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jest gotów do krytycznej, ale otwartej postawy wobec biologicznych wyjaśnień </w:t>
            </w:r>
            <w:proofErr w:type="spellStart"/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>zachowań</w:t>
            </w:r>
            <w:proofErr w:type="spellEnd"/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t xml:space="preserve"> społecznych, dostrzega ryzyko uproszczeń (np. biologicznego </w:t>
            </w:r>
            <w:r w:rsidR="00802ACB" w:rsidRPr="00802ACB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determinizmu) oraz etyczne, społeczne i środowiskowe konsekwencje wykorzystania wiedzy socjobiologicznej</w:t>
            </w:r>
          </w:p>
        </w:tc>
        <w:tc>
          <w:tcPr>
            <w:tcW w:w="1865" w:type="dxa"/>
          </w:tcPr>
          <w:p w:rsidR="006A3DA2" w:rsidRPr="00B169DF" w:rsidRDefault="007429C6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K_U06, K_K01, K_K03, K_K07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802ACB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802ACB">
        <w:tc>
          <w:tcPr>
            <w:tcW w:w="9520" w:type="dxa"/>
          </w:tcPr>
          <w:p w:rsidR="0085747A" w:rsidRPr="004242C4" w:rsidRDefault="00802ACB" w:rsidP="00747E06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Socjobiologia – zakres, historia i miejsce w systemie nauk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definicja socjobiologii, jej cele i przedmiot badań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zarys historyczny: od Darwina do współczesności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relacje socjobiologii z biologią ewolucyjną, etologią, psychologią ewolucyjną i socjologią</w:t>
            </w:r>
          </w:p>
        </w:tc>
      </w:tr>
      <w:tr w:rsidR="0085747A" w:rsidRPr="00B169DF" w:rsidTr="00802ACB">
        <w:tc>
          <w:tcPr>
            <w:tcW w:w="9520" w:type="dxa"/>
          </w:tcPr>
          <w:p w:rsidR="0085747A" w:rsidRPr="004242C4" w:rsidRDefault="00802ACB" w:rsidP="00747E06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 xml:space="preserve">Podstawy ewolucyjne </w:t>
            </w:r>
            <w:proofErr w:type="spellStart"/>
            <w:r w:rsidRPr="00802ACB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02ACB">
              <w:rPr>
                <w:rFonts w:ascii="Corbel" w:hAnsi="Corbel"/>
                <w:sz w:val="24"/>
                <w:szCs w:val="24"/>
              </w:rPr>
              <w:t xml:space="preserve"> społecznych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dobór naturalny, dobór płciowy, sukces reprodukcyjny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geny, osobnik, grupa – poziomy doboru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do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stosowanie łączne; </w:t>
            </w:r>
            <w:r w:rsidRPr="00802ACB">
              <w:rPr>
                <w:rFonts w:ascii="Corbel" w:hAnsi="Corbel"/>
                <w:sz w:val="24"/>
                <w:szCs w:val="24"/>
              </w:rPr>
              <w:t xml:space="preserve">wartość przystosowawcza </w:t>
            </w:r>
            <w:proofErr w:type="spellStart"/>
            <w:r w:rsidRPr="00802ACB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02ACB">
              <w:rPr>
                <w:rFonts w:ascii="Corbel" w:hAnsi="Corbel"/>
                <w:sz w:val="24"/>
                <w:szCs w:val="24"/>
              </w:rPr>
              <w:t xml:space="preserve"> społecznych</w:t>
            </w:r>
          </w:p>
        </w:tc>
      </w:tr>
      <w:tr w:rsidR="0085747A" w:rsidRPr="00B169DF" w:rsidTr="00802ACB">
        <w:tc>
          <w:tcPr>
            <w:tcW w:w="9520" w:type="dxa"/>
          </w:tcPr>
          <w:p w:rsidR="0085747A" w:rsidRPr="004242C4" w:rsidRDefault="00802ACB" w:rsidP="00747E06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Dobór krewniaczy, altruizm i kooperacja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reguła Hamiltona i dobór krewniaczy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altruizm krewniaczy vs. altruizm odwzajemniony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teorie współpracy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-</w:t>
            </w:r>
            <w:r w:rsidRPr="00802ACB">
              <w:rPr>
                <w:rFonts w:ascii="Corbel" w:hAnsi="Corbel"/>
                <w:sz w:val="24"/>
                <w:szCs w:val="24"/>
              </w:rPr>
              <w:t>m.in. teoria gier, dylemat więźnia, strategie ewolucyjnie stabilne)</w:t>
            </w:r>
          </w:p>
        </w:tc>
      </w:tr>
      <w:tr w:rsidR="003960B8" w:rsidRPr="00B169DF" w:rsidTr="00802ACB">
        <w:tc>
          <w:tcPr>
            <w:tcW w:w="9520" w:type="dxa"/>
          </w:tcPr>
          <w:p w:rsidR="003960B8" w:rsidRPr="004242C4" w:rsidRDefault="00802ACB" w:rsidP="00747E06">
            <w:pPr>
              <w:pStyle w:val="Akapitzlist"/>
              <w:spacing w:after="0" w:line="240" w:lineRule="auto"/>
              <w:ind w:left="63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Agresja, konkurencja i strategie rozrodcze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biologiczne podstawy agresji i rywalizacji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konflikty wewnątrzgatunkowe i międzyosobnicze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strategie rozrodcze: </w:t>
            </w:r>
            <w:r w:rsidRPr="00802ACB">
              <w:rPr>
                <w:rFonts w:ascii="Corbel" w:hAnsi="Corbel"/>
                <w:sz w:val="24"/>
                <w:szCs w:val="24"/>
              </w:rPr>
              <w:t>monogamia, poligynia, poliandria; inwestycja rodzicielska)</w:t>
            </w:r>
          </w:p>
        </w:tc>
      </w:tr>
      <w:tr w:rsidR="003960B8" w:rsidRPr="00B169DF" w:rsidTr="00802ACB">
        <w:tc>
          <w:tcPr>
            <w:tcW w:w="9520" w:type="dxa"/>
          </w:tcPr>
          <w:p w:rsidR="003960B8" w:rsidRPr="004242C4" w:rsidRDefault="00802ACB" w:rsidP="00747E06">
            <w:pPr>
              <w:pStyle w:val="Akapitzlist"/>
              <w:spacing w:after="0" w:line="240" w:lineRule="auto"/>
              <w:ind w:left="63"/>
              <w:rPr>
                <w:rFonts w:ascii="Corbel" w:hAnsi="Corbel" w:cstheme="minorHAnsi"/>
                <w:sz w:val="24"/>
                <w:szCs w:val="24"/>
              </w:rPr>
            </w:pPr>
            <w:r w:rsidRPr="00802ACB">
              <w:rPr>
                <w:rFonts w:ascii="Corbel" w:hAnsi="Corbel" w:cstheme="minorHAnsi"/>
                <w:sz w:val="24"/>
                <w:szCs w:val="24"/>
              </w:rPr>
              <w:t>Struktury społeczne i organizacja życia społecznego w świecie zwierząt i ludzi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 xml:space="preserve">hierarchie dominacyjne, </w:t>
            </w:r>
            <w:proofErr w:type="spellStart"/>
            <w:r w:rsidRPr="00802ACB">
              <w:rPr>
                <w:rFonts w:ascii="Corbel" w:hAnsi="Corbel" w:cstheme="minorHAnsi"/>
                <w:sz w:val="24"/>
                <w:szCs w:val="24"/>
              </w:rPr>
              <w:t>terytorializm</w:t>
            </w:r>
            <w:proofErr w:type="spellEnd"/>
            <w:r w:rsidRPr="00802ACB">
              <w:rPr>
                <w:rFonts w:ascii="Corbel" w:hAnsi="Corbel" w:cstheme="minorHAnsi"/>
                <w:sz w:val="24"/>
                <w:szCs w:val="24"/>
              </w:rPr>
              <w:t>, koalicje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systemy ro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dzinne i organizacje społeczne 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od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 owadów społecznych po naczelne; 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porównawcze ujęcie wybranych gatunków a specyfika człowieka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</w:tr>
      <w:tr w:rsidR="003960B8" w:rsidRPr="00B169DF" w:rsidTr="00802ACB">
        <w:tc>
          <w:tcPr>
            <w:tcW w:w="9520" w:type="dxa"/>
          </w:tcPr>
          <w:p w:rsidR="00802ACB" w:rsidRPr="00802ACB" w:rsidRDefault="00802ACB" w:rsidP="00802ACB">
            <w:pPr>
              <w:pStyle w:val="Akapitzlist"/>
              <w:spacing w:after="0" w:line="240" w:lineRule="auto"/>
              <w:ind w:left="63"/>
              <w:rPr>
                <w:rFonts w:ascii="Corbel" w:hAnsi="Corbel" w:cstheme="minorHAnsi"/>
                <w:sz w:val="24"/>
                <w:szCs w:val="24"/>
              </w:rPr>
            </w:pPr>
            <w:r w:rsidRPr="00802ACB">
              <w:rPr>
                <w:rFonts w:ascii="Corbel" w:hAnsi="Corbel" w:cstheme="minorHAnsi"/>
                <w:sz w:val="24"/>
                <w:szCs w:val="24"/>
              </w:rPr>
              <w:t>Socjobiologia człowieka – możliwości i ograniczenia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próby socjobiologicznego wyjaśniani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a wybranych zjawisk społecznych, 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np. norm, mora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lności, </w:t>
            </w:r>
            <w:proofErr w:type="spellStart"/>
            <w:r w:rsidR="00747E06">
              <w:rPr>
                <w:rFonts w:ascii="Corbel" w:hAnsi="Corbel" w:cstheme="minorHAnsi"/>
                <w:sz w:val="24"/>
                <w:szCs w:val="24"/>
              </w:rPr>
              <w:t>zachowań</w:t>
            </w:r>
            <w:proofErr w:type="spellEnd"/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 prospołecznych; </w:t>
            </w:r>
          </w:p>
          <w:p w:rsidR="00802ACB" w:rsidRPr="00802ACB" w:rsidRDefault="00802ACB" w:rsidP="00802ACB">
            <w:pPr>
              <w:pStyle w:val="Akapitzlist"/>
              <w:spacing w:after="0" w:line="240" w:lineRule="auto"/>
              <w:ind w:left="63"/>
              <w:rPr>
                <w:rFonts w:ascii="Corbel" w:hAnsi="Corbel" w:cstheme="minorHAnsi"/>
                <w:sz w:val="24"/>
                <w:szCs w:val="24"/>
              </w:rPr>
            </w:pPr>
            <w:r w:rsidRPr="00802ACB">
              <w:rPr>
                <w:rFonts w:ascii="Corbel" w:hAnsi="Corbel" w:cstheme="minorHAnsi"/>
                <w:sz w:val="24"/>
                <w:szCs w:val="24"/>
              </w:rPr>
              <w:t>kontrowersje wokół biologicznego determinizmu, redukcjonizmu, naturalizacji nierówności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; </w:t>
            </w:r>
          </w:p>
          <w:p w:rsidR="003960B8" w:rsidRPr="004242C4" w:rsidRDefault="00802ACB" w:rsidP="00802ACB">
            <w:pPr>
              <w:pStyle w:val="Akapitzlist"/>
              <w:spacing w:after="0" w:line="240" w:lineRule="auto"/>
              <w:ind w:left="63"/>
              <w:rPr>
                <w:rFonts w:ascii="Corbel" w:hAnsi="Corbel" w:cstheme="minorHAnsi"/>
                <w:sz w:val="24"/>
                <w:szCs w:val="24"/>
              </w:rPr>
            </w:pPr>
            <w:r w:rsidRPr="00802ACB">
              <w:rPr>
                <w:rFonts w:ascii="Corbel" w:hAnsi="Corbel" w:cstheme="minorHAnsi"/>
                <w:sz w:val="24"/>
                <w:szCs w:val="24"/>
              </w:rPr>
              <w:t>relacja między uwarunkowaniami biologicznymi a kulturą i strukturą społeczną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</w:tr>
      <w:tr w:rsidR="003960B8" w:rsidRPr="00B169DF" w:rsidTr="00802ACB">
        <w:tc>
          <w:tcPr>
            <w:tcW w:w="9520" w:type="dxa"/>
          </w:tcPr>
          <w:p w:rsidR="003960B8" w:rsidRPr="004242C4" w:rsidRDefault="00802ACB" w:rsidP="00747E06">
            <w:pPr>
              <w:pStyle w:val="Akapitzlist"/>
              <w:spacing w:after="0" w:line="240" w:lineRule="auto"/>
              <w:ind w:left="63"/>
              <w:rPr>
                <w:rFonts w:ascii="Corbel" w:hAnsi="Corbel" w:cstheme="minorHAnsi"/>
                <w:sz w:val="24"/>
                <w:szCs w:val="24"/>
              </w:rPr>
            </w:pPr>
            <w:r w:rsidRPr="00802ACB">
              <w:rPr>
                <w:rFonts w:ascii="Corbel" w:hAnsi="Corbel" w:cstheme="minorHAnsi"/>
                <w:sz w:val="24"/>
                <w:szCs w:val="24"/>
              </w:rPr>
              <w:t>Zastosowania i implikacje socjobiologii – etyka, społeczeństwo, zrównoważony rozwój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znaczenie perspektywy socjobiologicznej dla rozumienia współpracy, zaufania i dobra wspólnego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zachowania związane z korzystaniem ze wspólnych zasobów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 xml:space="preserve">: tragedia wspólnego pastwiska; 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etyczne i społeczne konsekwencje wykorzystania wiedzy socjobiologicznej w polityce, edukacji i działaniach na rzecz zrównoważonego rozwoju</w:t>
            </w:r>
            <w:r w:rsidR="00747E06">
              <w:rPr>
                <w:rFonts w:ascii="Corbel" w:hAnsi="Corbel" w:cstheme="minorHAnsi"/>
                <w:sz w:val="24"/>
                <w:szCs w:val="24"/>
              </w:rPr>
              <w:t>)</w:t>
            </w:r>
            <w:r w:rsidRPr="00802ACB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7E06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747E06">
        <w:tc>
          <w:tcPr>
            <w:tcW w:w="9520" w:type="dxa"/>
          </w:tcPr>
          <w:p w:rsidR="0085747A" w:rsidRPr="00B169DF" w:rsidRDefault="00802ACB" w:rsidP="00747E0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Dobór naturalny, dobór krewniaczy i altruizm w praktyce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zadania rachunkowe z prostym zastosowaniem reguły Hamiltona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- kiedy altruizm „się opłaca”?; </w:t>
            </w:r>
            <w:r w:rsidRPr="00802ACB">
              <w:rPr>
                <w:rFonts w:ascii="Corbel" w:hAnsi="Corbel"/>
                <w:sz w:val="24"/>
                <w:szCs w:val="24"/>
              </w:rPr>
              <w:t xml:space="preserve">analiza krótkich </w:t>
            </w:r>
            <w:proofErr w:type="spellStart"/>
            <w:r w:rsidRPr="00802ACB">
              <w:rPr>
                <w:rFonts w:ascii="Corbel" w:hAnsi="Corbel"/>
                <w:sz w:val="24"/>
                <w:szCs w:val="24"/>
              </w:rPr>
              <w:t>case</w:t>
            </w:r>
            <w:proofErr w:type="spellEnd"/>
            <w:r w:rsidRPr="00802ACB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02ACB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  <w:r w:rsidR="00747E06">
              <w:rPr>
                <w:rFonts w:ascii="Corbel" w:hAnsi="Corbel"/>
                <w:sz w:val="24"/>
                <w:szCs w:val="24"/>
              </w:rPr>
              <w:t xml:space="preserve">: </w:t>
            </w:r>
            <w:r w:rsidRPr="00802ACB">
              <w:rPr>
                <w:rFonts w:ascii="Corbel" w:hAnsi="Corbel"/>
                <w:sz w:val="24"/>
                <w:szCs w:val="24"/>
              </w:rPr>
              <w:t>opieka nad potomstwem, pomoc krewnym, zachowania ratunkowe)</w:t>
            </w:r>
          </w:p>
        </w:tc>
      </w:tr>
      <w:tr w:rsidR="0085747A" w:rsidRPr="00B169DF" w:rsidTr="00747E06">
        <w:tc>
          <w:tcPr>
            <w:tcW w:w="9520" w:type="dxa"/>
          </w:tcPr>
          <w:p w:rsidR="0085747A" w:rsidRPr="00B169DF" w:rsidRDefault="00802ACB" w:rsidP="00747E0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Kooperacja i teoria gier – mini-symulacje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rozgrywanie prostych gier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802ACB">
              <w:rPr>
                <w:rFonts w:ascii="Corbel" w:hAnsi="Corbel"/>
                <w:sz w:val="24"/>
                <w:szCs w:val="24"/>
              </w:rPr>
              <w:t>np. dylemat więźnia w grupie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802ACB">
              <w:rPr>
                <w:rFonts w:ascii="Corbel" w:hAnsi="Corbel"/>
                <w:sz w:val="24"/>
                <w:szCs w:val="24"/>
              </w:rPr>
              <w:t>porównanie różnych strategii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: </w:t>
            </w:r>
            <w:r w:rsidRPr="00802ACB">
              <w:rPr>
                <w:rFonts w:ascii="Corbel" w:hAnsi="Corbel"/>
                <w:sz w:val="24"/>
                <w:szCs w:val="24"/>
              </w:rPr>
              <w:t>wet za wet, zaws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ze współpracuj, zawsze zdradzaj, </w:t>
            </w:r>
            <w:r w:rsidRPr="00802ACB">
              <w:rPr>
                <w:rFonts w:ascii="Corbel" w:hAnsi="Corbel"/>
                <w:sz w:val="24"/>
                <w:szCs w:val="24"/>
              </w:rPr>
              <w:t xml:space="preserve"> dyskusja ich konsekwencji ewolucyjnych</w:t>
            </w:r>
            <w:r w:rsidR="00747E06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4242C4" w:rsidRPr="00B169DF" w:rsidTr="00747E06">
        <w:tc>
          <w:tcPr>
            <w:tcW w:w="9520" w:type="dxa"/>
          </w:tcPr>
          <w:p w:rsidR="004242C4" w:rsidRPr="00B169DF" w:rsidRDefault="00802ACB" w:rsidP="00747E0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Agresja, konkurencja i strategie rozrodcze – studia przypadków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 xml:space="preserve">analiza opisów </w:t>
            </w:r>
            <w:proofErr w:type="spellStart"/>
            <w:r w:rsidRPr="00802ACB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802ACB">
              <w:rPr>
                <w:rFonts w:ascii="Corbel" w:hAnsi="Corbel"/>
                <w:sz w:val="24"/>
                <w:szCs w:val="24"/>
              </w:rPr>
              <w:t xml:space="preserve"> agresywnych i rywalizacyjnych u wybranych gatunków</w:t>
            </w:r>
            <w:r w:rsidR="00747E06">
              <w:rPr>
                <w:rFonts w:ascii="Corbel" w:hAnsi="Corbel"/>
                <w:sz w:val="24"/>
                <w:szCs w:val="24"/>
              </w:rPr>
              <w:t xml:space="preserve">, w tym u ludzi; </w:t>
            </w:r>
            <w:r w:rsidRPr="00802ACB">
              <w:rPr>
                <w:rFonts w:ascii="Corbel" w:hAnsi="Corbel"/>
                <w:sz w:val="24"/>
                <w:szCs w:val="24"/>
              </w:rPr>
              <w:t>praca w grupach nad przykładami różnych strategii rozrodczych i inwestycji rodzicielskiej</w:t>
            </w:r>
            <w:r w:rsidR="00E45885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4242C4" w:rsidRPr="00B169DF" w:rsidTr="00747E06">
        <w:tc>
          <w:tcPr>
            <w:tcW w:w="9520" w:type="dxa"/>
          </w:tcPr>
          <w:p w:rsidR="004242C4" w:rsidRPr="00B169DF" w:rsidRDefault="00802ACB" w:rsidP="00E4588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02ACB">
              <w:rPr>
                <w:rFonts w:ascii="Corbel" w:hAnsi="Corbel"/>
                <w:sz w:val="24"/>
                <w:szCs w:val="24"/>
              </w:rPr>
              <w:t>Struktury społeczne i organizacja grup – od owadów społecznych do ludzi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802ACB">
              <w:rPr>
                <w:rFonts w:ascii="Corbel" w:hAnsi="Corbel"/>
                <w:sz w:val="24"/>
                <w:szCs w:val="24"/>
              </w:rPr>
              <w:t>porównanie schematów organizacji życia społecznego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 u bezkręgowców i kręgowców, w tym ludzi; </w:t>
            </w:r>
            <w:r w:rsidRPr="00802ACB">
              <w:rPr>
                <w:rFonts w:ascii="Corbel" w:hAnsi="Corbel"/>
                <w:sz w:val="24"/>
                <w:szCs w:val="24"/>
              </w:rPr>
              <w:t>identyfikacja elementów hierarchii, podziału ról, koalicji, przywództwa w materiałach opisowych / filmowych</w:t>
            </w:r>
          </w:p>
        </w:tc>
      </w:tr>
      <w:tr w:rsidR="004242C4" w:rsidRPr="00B169DF" w:rsidTr="00747E06">
        <w:tc>
          <w:tcPr>
            <w:tcW w:w="9520" w:type="dxa"/>
          </w:tcPr>
          <w:p w:rsidR="004242C4" w:rsidRPr="00B169DF" w:rsidRDefault="00747E06" w:rsidP="00E4588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47E06">
              <w:rPr>
                <w:rFonts w:ascii="Corbel" w:hAnsi="Corbel"/>
                <w:sz w:val="24"/>
                <w:szCs w:val="24"/>
              </w:rPr>
              <w:lastRenderedPageBreak/>
              <w:t>Socjobiologia, etyka i zrównoważony rozwój</w:t>
            </w:r>
            <w:r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747E06">
              <w:rPr>
                <w:rFonts w:ascii="Corbel" w:hAnsi="Corbel"/>
                <w:sz w:val="24"/>
                <w:szCs w:val="24"/>
              </w:rPr>
              <w:t>krótkie projekty grupowe (np. socjobiologiczne ujęcie współpracy przy korzystaniu ze wspólnych zasobów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: </w:t>
            </w:r>
            <w:r w:rsidRPr="00747E06">
              <w:rPr>
                <w:rFonts w:ascii="Corbel" w:hAnsi="Corbel"/>
                <w:sz w:val="24"/>
                <w:szCs w:val="24"/>
              </w:rPr>
              <w:t xml:space="preserve"> „tragedia wspólnego pastwiska”, zachowania proekologiczne.</w:t>
            </w:r>
          </w:p>
        </w:tc>
      </w:tr>
      <w:tr w:rsidR="004242C4" w:rsidRPr="00B169DF" w:rsidTr="00747E06">
        <w:tc>
          <w:tcPr>
            <w:tcW w:w="9520" w:type="dxa"/>
          </w:tcPr>
          <w:p w:rsidR="004242C4" w:rsidRPr="00B169DF" w:rsidRDefault="00747E06" w:rsidP="00E4588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47E06">
              <w:rPr>
                <w:rFonts w:ascii="Corbel" w:hAnsi="Corbel"/>
                <w:sz w:val="24"/>
                <w:szCs w:val="24"/>
              </w:rPr>
              <w:t>Warsztat pisania tekstu socjobiologicznego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 (</w:t>
            </w:r>
            <w:r w:rsidRPr="00747E06">
              <w:rPr>
                <w:rFonts w:ascii="Corbel" w:hAnsi="Corbel"/>
                <w:sz w:val="24"/>
                <w:szCs w:val="24"/>
              </w:rPr>
              <w:t>formułowanie krótkiej pisemne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j analizy wybranego zachowania </w:t>
            </w:r>
            <w:r w:rsidRPr="00747E06">
              <w:rPr>
                <w:rFonts w:ascii="Corbel" w:hAnsi="Corbel"/>
                <w:sz w:val="24"/>
                <w:szCs w:val="24"/>
              </w:rPr>
              <w:t>u ludzi lub zwierząt w perspektywie socjobiologicznej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747E06">
              <w:rPr>
                <w:rFonts w:ascii="Corbel" w:hAnsi="Corbel"/>
                <w:sz w:val="24"/>
                <w:szCs w:val="24"/>
              </w:rPr>
              <w:t>praca nad strukturą tekstu: teza, argumenty ewolucyjne/biologiczne, zastrzeżenia i ograniczenia interpretacji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; </w:t>
            </w:r>
            <w:r w:rsidRPr="00747E06">
              <w:rPr>
                <w:rFonts w:ascii="Corbel" w:hAnsi="Corbel"/>
                <w:sz w:val="24"/>
                <w:szCs w:val="24"/>
              </w:rPr>
              <w:t>wzajemne recenzowanie prac w małych grupach (informacja zwrotna)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6A3DA2" w:rsidRPr="006A3DA2" w:rsidRDefault="006A3DA2" w:rsidP="006A3DA2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 w:rsidRPr="006A3DA2">
        <w:rPr>
          <w:rFonts w:ascii="Corbel" w:hAnsi="Corbel"/>
          <w:b w:val="0"/>
          <w:smallCaps w:val="0"/>
          <w:szCs w:val="24"/>
        </w:rPr>
        <w:t xml:space="preserve">Wykład: wykład z prezentacją multimedialną i elementami dyskusji tematycznej. </w:t>
      </w:r>
    </w:p>
    <w:p w:rsidR="0085747A" w:rsidRPr="006A3DA2" w:rsidRDefault="006A3DA2" w:rsidP="006A3DA2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6A3DA2">
        <w:rPr>
          <w:rFonts w:ascii="Corbel" w:hAnsi="Corbel"/>
          <w:b w:val="0"/>
          <w:smallCaps w:val="0"/>
          <w:szCs w:val="24"/>
        </w:rPr>
        <w:t>Ćwiczenia: dyskusja, analiza i interpretacja tekstów źródłowych, praca w grupach, projekt zespołowy / indywidualny, prezentacja multimedialna.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3960B8">
        <w:tc>
          <w:tcPr>
            <w:tcW w:w="1962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960B8" w:rsidRPr="00B169DF" w:rsidTr="003960B8">
        <w:tc>
          <w:tcPr>
            <w:tcW w:w="1962" w:type="dxa"/>
          </w:tcPr>
          <w:p w:rsidR="003960B8" w:rsidRPr="00B169DF" w:rsidRDefault="003960B8" w:rsidP="003960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  <w:r w:rsidR="009677F6">
              <w:rPr>
                <w:rFonts w:ascii="Corbel" w:hAnsi="Corbel"/>
                <w:b w:val="0"/>
                <w:smallCaps w:val="0"/>
                <w:szCs w:val="24"/>
              </w:rPr>
              <w:t>-EK05</w:t>
            </w:r>
          </w:p>
        </w:tc>
        <w:tc>
          <w:tcPr>
            <w:tcW w:w="5441" w:type="dxa"/>
          </w:tcPr>
          <w:p w:rsidR="003960B8" w:rsidRPr="00B169DF" w:rsidRDefault="003960B8" w:rsidP="009677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projekt zespołowy/</w:t>
            </w:r>
            <w:r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indywidualny,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kolokwium, </w:t>
            </w:r>
            <w:r w:rsidRPr="00646074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17" w:type="dxa"/>
          </w:tcPr>
          <w:p w:rsidR="003960B8" w:rsidRPr="00B169DF" w:rsidRDefault="003960B8" w:rsidP="003960B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:rsidR="00E45885" w:rsidRPr="00B169DF" w:rsidRDefault="00E45885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925DF2" w:rsidRDefault="00925DF2" w:rsidP="003960B8">
            <w:pPr>
              <w:pStyle w:val="Punktygwne"/>
              <w:spacing w:before="0" w:after="0"/>
              <w:jc w:val="both"/>
              <w:rPr>
                <w:rStyle w:val="Pogrubienie"/>
                <w:rFonts w:ascii="Corbel" w:hAnsi="Corbel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Wykład: obecność </w:t>
            </w:r>
            <w:r w:rsidRPr="00CE6248">
              <w:rPr>
                <w:rStyle w:val="Pogrubienie"/>
                <w:rFonts w:ascii="Corbel" w:hAnsi="Corbel"/>
                <w:sz w:val="22"/>
              </w:rPr>
              <w:t>≥ 80%</w:t>
            </w:r>
          </w:p>
          <w:p w:rsidR="00925DF2" w:rsidRDefault="00925DF2" w:rsidP="003960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3960B8" w:rsidRPr="00B17407" w:rsidRDefault="003960B8" w:rsidP="003960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Ćwiczenia: </w:t>
            </w:r>
          </w:p>
          <w:p w:rsidR="003960B8" w:rsidRPr="00B17407" w:rsidRDefault="003960B8" w:rsidP="003960B8">
            <w:pPr>
              <w:pStyle w:val="Punktygwne"/>
              <w:numPr>
                <w:ilvl w:val="0"/>
                <w:numId w:val="3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>kolokwium,</w:t>
            </w:r>
          </w:p>
          <w:p w:rsidR="009677F6" w:rsidRDefault="003960B8" w:rsidP="003960B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projekt zespołowy /</w:t>
            </w:r>
            <w:r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 indywidualny</w:t>
            </w:r>
          </w:p>
          <w:p w:rsidR="00925DF2" w:rsidRDefault="00925DF2" w:rsidP="003960B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obecność: </w:t>
            </w:r>
            <w:r w:rsidRPr="00CE6248">
              <w:rPr>
                <w:rStyle w:val="Pogrubienie"/>
                <w:rFonts w:ascii="Corbel" w:hAnsi="Corbel"/>
                <w:sz w:val="22"/>
              </w:rPr>
              <w:t>≥ 80%</w:t>
            </w:r>
          </w:p>
          <w:p w:rsidR="003960B8" w:rsidRPr="00567348" w:rsidRDefault="003960B8" w:rsidP="003960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>Ocena 3,0 wymaga zdobycia 51% maksymalnej ilości punktów przypisanych do kolokwium oraz 51% maksymalnej ilości punktów przypisanych do projektu.</w:t>
            </w:r>
          </w:p>
          <w:p w:rsidR="003960B8" w:rsidRPr="00567348" w:rsidRDefault="003960B8" w:rsidP="003960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Skala ocen: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61-70 %,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81-90 %,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91-100%.</w:t>
            </w:r>
          </w:p>
          <w:p w:rsidR="003960B8" w:rsidRDefault="003960B8" w:rsidP="003960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Podstawą </w:t>
            </w:r>
            <w:r w:rsidR="009677F6">
              <w:rPr>
                <w:rFonts w:ascii="Corbel" w:hAnsi="Corbel"/>
                <w:b w:val="0"/>
                <w:bCs/>
                <w:smallCaps w:val="0"/>
                <w:szCs w:val="24"/>
              </w:rPr>
              <w:t>przystąpienia do egzaminu</w:t>
            </w:r>
            <w:r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jest pozytywna ocena z ćwiczeń. </w:t>
            </w:r>
          </w:p>
          <w:p w:rsidR="00925DF2" w:rsidRDefault="00925DF2" w:rsidP="003960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</w:p>
          <w:p w:rsidR="003960B8" w:rsidRDefault="003960B8" w:rsidP="003960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Egzamin</w:t>
            </w:r>
            <w:r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>: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egzamin pisemny</w:t>
            </w:r>
            <w:r w:rsidR="009677F6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(test + pytania otwarte)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.</w:t>
            </w:r>
          </w:p>
          <w:p w:rsidR="00925DF2" w:rsidRDefault="00925DF2" w:rsidP="003960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</w:p>
          <w:p w:rsidR="0085747A" w:rsidRDefault="009677F6" w:rsidP="009677F6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Skala ocen: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61-70 %,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81-90 %,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91-100%.</w:t>
            </w:r>
          </w:p>
          <w:p w:rsidR="00925DF2" w:rsidRDefault="00925DF2" w:rsidP="009677F6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25DF2" w:rsidRDefault="00925DF2" w:rsidP="00925DF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:rsidR="00925DF2" w:rsidRPr="009677F6" w:rsidRDefault="00925DF2" w:rsidP="009677F6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E4588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3960B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E4588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E4588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E45885" w:rsidP="003C617A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="003C617A"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3C61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E4588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3960B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A35311" w:rsidRDefault="00A3531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A35311" w:rsidRPr="00F7058F" w:rsidRDefault="00A175B1" w:rsidP="00A35311">
            <w:pPr>
              <w:spacing w:after="0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>
              <w:t xml:space="preserve">Wilson E. O., </w:t>
            </w:r>
            <w:r>
              <w:rPr>
                <w:rStyle w:val="Uwydatnienie"/>
              </w:rPr>
              <w:t>Socjobiologia</w:t>
            </w:r>
            <w:r>
              <w:t>, Zysk i S-ka, Poznań, 2000</w:t>
            </w:r>
            <w:r w:rsidR="00A35311" w:rsidRPr="00F7058F">
              <w:rPr>
                <w:rFonts w:ascii="Corbel" w:hAnsi="Corbel"/>
                <w:sz w:val="24"/>
                <w:szCs w:val="24"/>
              </w:rPr>
              <w:t>;</w:t>
            </w:r>
          </w:p>
          <w:p w:rsidR="00A35311" w:rsidRDefault="00A175B1" w:rsidP="00A175B1">
            <w:pPr>
              <w:spacing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t>Buss</w:t>
            </w:r>
            <w:proofErr w:type="spellEnd"/>
            <w:r>
              <w:t xml:space="preserve"> D. M., </w:t>
            </w:r>
            <w:r>
              <w:rPr>
                <w:rStyle w:val="Uwydatnienie"/>
              </w:rPr>
              <w:t>Psychologia ewolucyjna. Jak wytłumaczyć społeczne zachowania człowieka?</w:t>
            </w:r>
            <w:r>
              <w:t>, Gdańskie Wydawnictwo Psychologiczne, Gdańsk, 2001.</w:t>
            </w:r>
            <w:r w:rsidR="00A35311" w:rsidRPr="00F7058F">
              <w:rPr>
                <w:rFonts w:ascii="Corbel" w:hAnsi="Corbel"/>
                <w:sz w:val="24"/>
                <w:szCs w:val="24"/>
              </w:rPr>
              <w:t>;</w:t>
            </w:r>
          </w:p>
          <w:p w:rsidR="00A175B1" w:rsidRPr="00F7058F" w:rsidRDefault="00A175B1" w:rsidP="00A175B1">
            <w:pPr>
              <w:spacing w:after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A175B1">
              <w:rPr>
                <w:rFonts w:ascii="Corbel" w:hAnsi="Corbel"/>
                <w:sz w:val="24"/>
                <w:szCs w:val="24"/>
              </w:rPr>
              <w:t>Neckar</w:t>
            </w:r>
            <w:proofErr w:type="spellEnd"/>
            <w:r w:rsidRPr="00A175B1">
              <w:rPr>
                <w:rFonts w:ascii="Corbel" w:hAnsi="Corbel"/>
                <w:sz w:val="24"/>
                <w:szCs w:val="24"/>
              </w:rPr>
              <w:t xml:space="preserve"> J., Ewolucyjna psychologia osobowości. O naturze człowieka w ujęciu darwinowskim, Wydawnictwo Akademickie Sedno, Warszawa, 2018.</w:t>
            </w:r>
          </w:p>
          <w:p w:rsidR="00A35311" w:rsidRPr="00A35311" w:rsidRDefault="00A35311" w:rsidP="00A3531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A35311" w:rsidRDefault="00A3531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A35311" w:rsidRPr="00F7058F" w:rsidRDefault="00A175B1" w:rsidP="00A35311">
            <w:pPr>
              <w:spacing w:after="0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>
              <w:t xml:space="preserve">Wilson E. O., </w:t>
            </w:r>
            <w:r>
              <w:rPr>
                <w:rStyle w:val="Uwydatnienie"/>
              </w:rPr>
              <w:t>O naturze ludzkiej</w:t>
            </w:r>
            <w:r>
              <w:t>, Zysk i S-ka, Poznań, 1998</w:t>
            </w:r>
            <w:r w:rsidR="00A35311" w:rsidRPr="00F7058F">
              <w:rPr>
                <w:rFonts w:ascii="Corbel" w:eastAsia="Times New Roman" w:hAnsi="Corbel"/>
                <w:sz w:val="24"/>
                <w:szCs w:val="24"/>
                <w:lang w:eastAsia="pl-PL"/>
              </w:rPr>
              <w:t>;</w:t>
            </w:r>
          </w:p>
          <w:p w:rsidR="00A35311" w:rsidRPr="00A35311" w:rsidRDefault="00A35311" w:rsidP="00A3531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F1" w:rsidRDefault="00D849F1" w:rsidP="00C16ABF">
      <w:pPr>
        <w:spacing w:after="0" w:line="240" w:lineRule="auto"/>
      </w:pPr>
      <w:r>
        <w:separator/>
      </w:r>
    </w:p>
  </w:endnote>
  <w:endnote w:type="continuationSeparator" w:id="0">
    <w:p w:rsidR="00D849F1" w:rsidRDefault="00D849F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F1" w:rsidRDefault="00D849F1" w:rsidP="00C16ABF">
      <w:pPr>
        <w:spacing w:after="0" w:line="240" w:lineRule="auto"/>
      </w:pPr>
      <w:r>
        <w:separator/>
      </w:r>
    </w:p>
  </w:footnote>
  <w:footnote w:type="continuationSeparator" w:id="0">
    <w:p w:rsidR="00D849F1" w:rsidRDefault="00D849F1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F1D"/>
    <w:multiLevelType w:val="hybridMultilevel"/>
    <w:tmpl w:val="9F2C0A6E"/>
    <w:lvl w:ilvl="0" w:tplc="3B4ADA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D9749D"/>
    <w:multiLevelType w:val="hybridMultilevel"/>
    <w:tmpl w:val="F67CAF86"/>
    <w:lvl w:ilvl="0" w:tplc="3B4ADA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4FF"/>
    <w:rsid w:val="000048FD"/>
    <w:rsid w:val="000077B4"/>
    <w:rsid w:val="00015B8F"/>
    <w:rsid w:val="00022ECE"/>
    <w:rsid w:val="000262DC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E0CFC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2602D"/>
    <w:rsid w:val="003343CF"/>
    <w:rsid w:val="00346FE9"/>
    <w:rsid w:val="0034759A"/>
    <w:rsid w:val="003503F6"/>
    <w:rsid w:val="003530DD"/>
    <w:rsid w:val="00363F78"/>
    <w:rsid w:val="003960B8"/>
    <w:rsid w:val="003A0A5B"/>
    <w:rsid w:val="003A1176"/>
    <w:rsid w:val="003B00FA"/>
    <w:rsid w:val="003B28C7"/>
    <w:rsid w:val="003C0BAE"/>
    <w:rsid w:val="003C617A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42C4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1FF6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232E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3945"/>
    <w:rsid w:val="00654934"/>
    <w:rsid w:val="006620D9"/>
    <w:rsid w:val="00671958"/>
    <w:rsid w:val="00675843"/>
    <w:rsid w:val="00696477"/>
    <w:rsid w:val="006A3DA2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29C6"/>
    <w:rsid w:val="00745302"/>
    <w:rsid w:val="007461D6"/>
    <w:rsid w:val="00746EC8"/>
    <w:rsid w:val="00747E06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02ACB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25DF2"/>
    <w:rsid w:val="009508DF"/>
    <w:rsid w:val="00950DAC"/>
    <w:rsid w:val="00954A07"/>
    <w:rsid w:val="009677F6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175B1"/>
    <w:rsid w:val="00A2245B"/>
    <w:rsid w:val="00A30110"/>
    <w:rsid w:val="00A35311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20C20"/>
    <w:rsid w:val="00B22DC7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3E23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49F1"/>
    <w:rsid w:val="00D8678B"/>
    <w:rsid w:val="00DA2114"/>
    <w:rsid w:val="00DE09C0"/>
    <w:rsid w:val="00DE4A14"/>
    <w:rsid w:val="00DF320D"/>
    <w:rsid w:val="00DF71C8"/>
    <w:rsid w:val="00E129B8"/>
    <w:rsid w:val="00E154D5"/>
    <w:rsid w:val="00E21E7D"/>
    <w:rsid w:val="00E22FBC"/>
    <w:rsid w:val="00E24BF5"/>
    <w:rsid w:val="00E25338"/>
    <w:rsid w:val="00E45885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86037"/>
    <w:rsid w:val="00F974DA"/>
    <w:rsid w:val="00FA46E5"/>
    <w:rsid w:val="00FB7DBA"/>
    <w:rsid w:val="00FC1C25"/>
    <w:rsid w:val="00FC3F45"/>
    <w:rsid w:val="00FD503F"/>
    <w:rsid w:val="00FD7589"/>
    <w:rsid w:val="00FE42AC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A175B1"/>
    <w:rPr>
      <w:i/>
      <w:iCs/>
    </w:rPr>
  </w:style>
  <w:style w:type="character" w:styleId="Pogrubienie">
    <w:name w:val="Strong"/>
    <w:basedOn w:val="Domylnaczcionkaakapitu"/>
    <w:uiPriority w:val="22"/>
    <w:qFormat/>
    <w:rsid w:val="00925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871F-E4BC-42A5-8FA3-F7937BCA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</TotalTime>
  <Pages>5</Pages>
  <Words>1273</Words>
  <Characters>8880</Characters>
  <Application>Microsoft Office Word</Application>
  <DocSecurity>0</DocSecurity>
  <Lines>164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10</cp:revision>
  <cp:lastPrinted>2019-02-06T12:12:00Z</cp:lastPrinted>
  <dcterms:created xsi:type="dcterms:W3CDTF">2025-12-08T19:33:00Z</dcterms:created>
  <dcterms:modified xsi:type="dcterms:W3CDTF">2026-02-10T16:33:00Z</dcterms:modified>
</cp:coreProperties>
</file>