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lang w:val="en-GB"/>
        </w:rPr>
      </w:pPr>
      <w:r>
        <w:rPr>
          <w:rFonts w:cs="Tahoma" w:ascii="Corbel" w:hAnsi="Corbel"/>
          <w:color w:val="auto"/>
          <w:sz w:val="20"/>
          <w:szCs w:val="20"/>
          <w:lang w:val="en-GB"/>
        </w:rPr>
        <w:t xml:space="preserve">Appendix No. 1.5 to the Resolution No. 7/2023 </w:t>
      </w:r>
    </w:p>
    <w:p>
      <w:pPr>
        <w:pStyle w:val="Normal"/>
        <w:rPr>
          <w:rFonts w:ascii="Corbel" w:hAnsi="Corbel" w:cs="Tahoma"/>
          <w:color w:val="auto"/>
          <w:lang w:val="en-GB"/>
        </w:rPr>
      </w:pPr>
      <w:r>
        <w:rPr>
          <w:rFonts w:cs="Tahoma" w:ascii="Corbel" w:hAnsi="Corbel"/>
          <w:color w:val="auto"/>
          <w:sz w:val="20"/>
          <w:szCs w:val="20"/>
          <w:lang w:val="en-GB"/>
        </w:rPr>
        <w:t xml:space="preserve">                                                                                                                                                      </w:t>
      </w:r>
      <w:r>
        <w:rPr>
          <w:rFonts w:cs="Tahoma" w:ascii="Corbel" w:hAnsi="Corbel"/>
          <w:color w:val="auto"/>
          <w:sz w:val="20"/>
          <w:szCs w:val="20"/>
          <w:lang w:val="en-GB"/>
        </w:rPr>
        <w:t>of the Rector of the University of Rzeszów</w:t>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w:t>
      </w:r>
      <w:r>
        <w:rPr>
          <w:rFonts w:cs="Tahoma" w:ascii="Corbel" w:hAnsi="Corbel"/>
          <w:b/>
          <w:bCs/>
          <w:smallCaps/>
          <w:color w:val="auto"/>
          <w:szCs w:val="24"/>
          <w:lang w:val="en-GB"/>
        </w:rPr>
        <w:t>6</w:t>
      </w:r>
      <w:r>
        <w:rPr>
          <w:rFonts w:cs="Tahoma" w:ascii="Corbel" w:hAnsi="Corbel"/>
          <w:b/>
          <w:bCs/>
          <w:smallCaps/>
          <w:color w:val="auto"/>
          <w:szCs w:val="24"/>
          <w:lang w:val="en-GB"/>
        </w:rPr>
        <w:t xml:space="preserve"> TO 202</w:t>
      </w:r>
      <w:r>
        <w:rPr>
          <w:rFonts w:cs="Tahoma" w:ascii="Corbel" w:hAnsi="Corbel"/>
          <w:b/>
          <w:bCs/>
          <w:smallCaps/>
          <w:color w:val="auto"/>
          <w:szCs w:val="24"/>
          <w:lang w:val="en-GB"/>
        </w:rPr>
        <w:t>7</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Narrative games – selected problems of contemporary narratives in media and social life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Dept. of Pedagogy and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 xml:space="preserve">BA </w:t>
            </w:r>
            <w:r>
              <w:rPr>
                <w:rFonts w:cs="Tahoma" w:ascii="Corbel" w:hAnsi="Corbel"/>
                <w:b w:val="false"/>
                <w:i/>
                <w:color w:val="auto"/>
                <w:sz w:val="24"/>
                <w:szCs w:val="24"/>
                <w:lang w:val="en-GB"/>
              </w:rPr>
              <w:t>(&amp;MA as supplementary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2nd year, summer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 xml:space="preserve">elective </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1"/>
        <w:gridCol w:w="954"/>
        <w:gridCol w:w="961"/>
        <w:gridCol w:w="1011"/>
        <w:gridCol w:w="927"/>
        <w:gridCol w:w="988"/>
        <w:gridCol w:w="972"/>
        <w:gridCol w:w="1204"/>
        <w:gridCol w:w="751"/>
        <w:gridCol w:w="813"/>
      </w:tblGrid>
      <w:tr>
        <w:trPr/>
        <w:tc>
          <w:tcPr>
            <w:tcW w:w="105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lang w:val="en-GB"/>
              </w:rPr>
            </w:pPr>
            <w:r>
              <w:rPr>
                <w:lang w:val="en-GB"/>
              </w:rPr>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15</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3"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3</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caps w:val="false"/>
          <w:smallCaps w:val="false"/>
          <w:color w:val="auto"/>
          <w:szCs w:val="24"/>
          <w:lang w:val="en-GB"/>
        </w:rPr>
        <w:t>exam</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lang w:val="en-GB"/>
              </w:rPr>
            </w:pPr>
            <w:r>
              <w:rPr>
                <w:rFonts w:cs="Tahoma" w:ascii="Corbel" w:hAnsi="Corbel"/>
                <w:b w:val="false"/>
                <w:caps w:val="false"/>
                <w:smallCaps w:val="false"/>
                <w:color w:val="auto"/>
                <w:szCs w:val="20"/>
                <w:lang w:val="en-GB" w:eastAsia="pl-PL"/>
              </w:rPr>
              <w:t>Basic knowledge (high-school level) of history, culture and social relationships. Passed basic courses in the respective programme, elementary knowledge and familiarity with philosophy of culture</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Podpunkty"/>
              <w:widowControl w:val="false"/>
              <w:spacing w:before="40" w:after="40"/>
              <w:ind w:left="0" w:right="0" w:hanging="0"/>
              <w:jc w:val="left"/>
              <w:rPr>
                <w:rFonts w:ascii="Corbel" w:hAnsi="Corbel" w:eastAsia="Calibri" w:cs="Tahoma"/>
                <w:b w:val="false"/>
                <w:b w:val="false"/>
                <w:i w:val="false"/>
                <w:i w:val="false"/>
                <w:iCs w:val="false"/>
                <w:color w:val="auto"/>
                <w:sz w:val="24"/>
                <w:lang w:val="en-GB"/>
              </w:rPr>
            </w:pPr>
            <w:r>
              <w:rPr>
                <w:rFonts w:eastAsia="Calibri" w:cs="Tahoma" w:ascii="Corbel" w:hAnsi="Corbel"/>
                <w:b w:val="false"/>
                <w:bCs w:val="false"/>
                <w:i w:val="false"/>
                <w:iCs w:val="false"/>
                <w:color w:val="auto"/>
                <w:sz w:val="24"/>
                <w:lang w:val="en-GB"/>
              </w:rPr>
              <w:t>The course primary objective is introduction into contemporary problems of narration (and ‘narratives’) and present state of (shared and local) social imagination. Because of the nature of the material and high level of engagement required from participants, the course is reshaped for each group to align working material with interests and competency of participants.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right="0" w:hanging="0"/>
              <w:jc w:val="left"/>
              <w:rPr>
                <w:rFonts w:ascii="Corbel" w:hAnsi="Corbel" w:eastAsia="Calibri" w:cs="Tahoma"/>
                <w:b w:val="false"/>
                <w:b w:val="false"/>
                <w:color w:val="auto"/>
                <w:sz w:val="24"/>
                <w:lang w:val="en-GB"/>
              </w:rPr>
            </w:pPr>
            <w:r>
              <w:rPr>
                <w:rFonts w:eastAsia="Calibri" w:cs="Tahoma" w:ascii="Corbel" w:hAnsi="Corbel"/>
                <w:b w:val="false"/>
                <w:i/>
                <w:color w:val="auto"/>
                <w:sz w:val="24"/>
                <w:lang w:val="en-GB"/>
              </w:rPr>
              <w:t xml:space="preserve">Indication of the role of contemporary narrative tools and discursive practices, rule of “popular culture” and its market in the context outside literature analyses </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right="0" w:hanging="0"/>
              <w:jc w:val="left"/>
              <w:rPr>
                <w:rFonts w:ascii="Corbel" w:hAnsi="Corbel" w:eastAsia="Calibri" w:cs="Tahoma"/>
                <w:b w:val="false"/>
                <w:b w:val="false"/>
                <w:color w:val="auto"/>
                <w:sz w:val="24"/>
                <w:lang w:val="en-GB"/>
              </w:rPr>
            </w:pPr>
            <w:r>
              <w:rPr>
                <w:rFonts w:eastAsia="Calibri" w:cs="Tahoma" w:ascii="Corbel" w:hAnsi="Corbel"/>
                <w:b w:val="false"/>
                <w:i/>
                <w:color w:val="auto"/>
                <w:sz w:val="24"/>
                <w:lang w:val="en-GB"/>
              </w:rPr>
              <w:t xml:space="preserve">Introduction in topic of repetitive structures in narration, the narrative structure itself (outside its basic literature forms) , fields of narrative games and theirs polymorphic, often unclear shapes. Meaning of narrative stakes, capitalization strategies, games of </w:t>
            </w:r>
            <w:r>
              <w:rPr>
                <w:rFonts w:eastAsia="Calibri" w:cs="Tahoma" w:ascii="Corbel" w:hAnsi="Corbel"/>
                <w:b w:val="false"/>
                <w:i/>
                <w:iCs/>
                <w:color w:val="auto"/>
                <w:sz w:val="24"/>
                <w:lang w:val="en-GB"/>
              </w:rPr>
              <w:t>telling the story</w:t>
            </w:r>
            <w:r>
              <w:rPr>
                <w:rFonts w:eastAsia="Calibri" w:cs="Tahoma" w:ascii="Corbel" w:hAnsi="Corbel"/>
                <w:b w:val="false"/>
                <w:i w:val="false"/>
                <w:iCs w:val="false"/>
                <w:color w:val="auto"/>
                <w:sz w:val="24"/>
                <w:lang w:val="en-GB"/>
              </w:rPr>
              <w:t>, problems of normalization and disciplinary tools.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right="0" w:hanging="0"/>
              <w:jc w:val="left"/>
              <w:rPr>
                <w:rFonts w:ascii="Corbel" w:hAnsi="Corbel" w:eastAsia="Calibri" w:cs="Tahoma"/>
                <w:b w:val="false"/>
                <w:b w:val="false"/>
                <w:color w:val="auto"/>
                <w:sz w:val="24"/>
                <w:lang w:val="en-GB"/>
              </w:rPr>
            </w:pPr>
            <w:r>
              <w:rPr>
                <w:rFonts w:eastAsia="Calibri" w:cs="Tahoma" w:ascii="Corbel" w:hAnsi="Corbel"/>
                <w:b w:val="false"/>
                <w:i/>
                <w:color w:val="auto"/>
                <w:sz w:val="24"/>
                <w:lang w:val="en-GB"/>
              </w:rPr>
              <w:t>Introduction to self-directed analyses (materials and pacing are negotiated with students)</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2"/>
        <w:gridCol w:w="2559"/>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Participant has knowledge of necessary elements of main narrative theories (outside literature field) and is able to properly refer to it</w:t>
            </w:r>
          </w:p>
        </w:tc>
        <w:tc>
          <w:tcPr>
            <w:tcW w:w="255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K_W01-4</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Participant is able to analyse narrative elements of presented materials and its discursive context</w:t>
            </w:r>
          </w:p>
        </w:tc>
        <w:tc>
          <w:tcPr>
            <w:tcW w:w="255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K_W02</w:t>
            </w:r>
            <w:r>
              <w:rPr>
                <w:rFonts w:cs="Tahoma" w:ascii="Corbel" w:hAnsi="Corbel"/>
                <w:b w:val="false"/>
                <w:bCs/>
                <w:caps w:val="false"/>
                <w:smallCaps w:val="false"/>
                <w:color w:val="auto"/>
                <w:szCs w:val="20"/>
                <w:lang w:val="en-GB" w:eastAsia="pl-PL"/>
              </w:rPr>
              <w:t xml:space="preserve"> K_U03</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 xml:space="preserve">Participant is prepared for critical analyse of selected material and its place, context and used tools in the social and normative fields </w:t>
            </w:r>
          </w:p>
        </w:tc>
        <w:tc>
          <w:tcPr>
            <w:tcW w:w="255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K_U03-4, K_K01-2</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LO_04</w:t>
            </w:r>
          </w:p>
        </w:tc>
        <w:tc>
          <w:tcPr>
            <w:tcW w:w="45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is able to critical analysis of communication in public discourse and reflection of one’s own participation</w:t>
            </w:r>
          </w:p>
        </w:tc>
        <w:tc>
          <w:tcPr>
            <w:tcW w:w="255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K_U09, K_K01, K_K04-5</w:t>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i/>
                <w:i/>
                <w:iCs/>
                <w:color w:val="auto"/>
                <w:szCs w:val="24"/>
                <w:lang w:val="en-GB"/>
              </w:rPr>
            </w:pPr>
            <w:r>
              <w:rPr>
                <w:rFonts w:cs="Tahoma" w:ascii="Corbel" w:hAnsi="Corbel"/>
                <w:i/>
                <w:iCs/>
                <w:color w:val="auto"/>
                <w:szCs w:val="24"/>
                <w:lang w:val="en-GB"/>
              </w:rPr>
              <w:t>Note: meetings have preparatory and discursive nature and are strongly shaped by participants’ preferences.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color w:val="auto"/>
                <w:szCs w:val="24"/>
                <w:lang w:val="en-GB"/>
              </w:rPr>
            </w:pPr>
            <w:r>
              <w:rPr>
                <w:rFonts w:cs="Tahoma" w:ascii="Corbel" w:hAnsi="Corbel"/>
                <w:color w:val="auto"/>
                <w:szCs w:val="24"/>
                <w:lang w:val="en-GB"/>
              </w:rPr>
              <w:t xml:space="preserve"> </w:t>
            </w:r>
            <w:r>
              <w:rPr>
                <w:rFonts w:cs="Tahoma" w:ascii="Corbel" w:hAnsi="Corbel"/>
                <w:color w:val="auto"/>
                <w:szCs w:val="24"/>
                <w:lang w:val="en-GB"/>
              </w:rPr>
              <w:t xml:space="preserve">Narration, </w:t>
            </w:r>
            <w:r>
              <w:rPr>
                <w:rFonts w:cs="Tahoma" w:ascii="Corbel" w:hAnsi="Corbel"/>
                <w:i/>
                <w:iCs/>
                <w:color w:val="auto"/>
                <w:szCs w:val="24"/>
                <w:lang w:val="en-GB"/>
              </w:rPr>
              <w:t>the story and discourse</w:t>
            </w:r>
            <w:r>
              <w:rPr>
                <w:rFonts w:cs="Tahoma" w:ascii="Corbel" w:hAnsi="Corbel"/>
                <w:i w:val="false"/>
                <w:iCs w:val="false"/>
                <w:color w:val="auto"/>
                <w:szCs w:val="24"/>
                <w:lang w:val="en-GB"/>
              </w:rPr>
              <w:t xml:space="preserve"> beyond the field of literature, from Propp’s “Structure of the Tale” to </w:t>
            </w:r>
            <w:r>
              <w:rPr>
                <w:rFonts w:cs="Tahoma" w:ascii="Corbel" w:hAnsi="Corbel"/>
                <w:i/>
                <w:iCs/>
                <w:color w:val="auto"/>
                <w:szCs w:val="24"/>
                <w:lang w:val="en-GB"/>
              </w:rPr>
              <w:t xml:space="preserve">immersion </w:t>
            </w:r>
            <w:r>
              <w:rPr>
                <w:rFonts w:cs="Tahoma" w:ascii="Corbel" w:hAnsi="Corbel"/>
                <w:i w:val="false"/>
                <w:iCs w:val="false"/>
                <w:color w:val="auto"/>
                <w:szCs w:val="24"/>
                <w:lang w:val="en-GB"/>
              </w:rPr>
              <w:t xml:space="preserve"> and </w:t>
            </w:r>
            <w:r>
              <w:rPr>
                <w:rFonts w:cs="Tahoma" w:ascii="Corbel" w:hAnsi="Corbel"/>
                <w:i/>
                <w:iCs/>
                <w:color w:val="auto"/>
                <w:szCs w:val="24"/>
                <w:lang w:val="en-GB"/>
              </w:rPr>
              <w:t>engagement</w:t>
            </w:r>
            <w:r>
              <w:rPr>
                <w:rFonts w:cs="Tahoma" w:ascii="Corbel" w:hAnsi="Corbel"/>
                <w:i w:val="false"/>
                <w:iCs w:val="false"/>
                <w:color w:val="auto"/>
                <w:szCs w:val="24"/>
                <w:lang w:val="en-GB"/>
              </w:rPr>
              <w:t>; entertainment and politics, politics and narratives; action, act, story and the medium</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color w:val="auto"/>
                <w:szCs w:val="24"/>
                <w:lang w:val="en-GB"/>
              </w:rPr>
            </w:pPr>
            <w:r>
              <w:rPr>
                <w:rFonts w:cs="Tahoma" w:ascii="Corbel" w:hAnsi="Corbel"/>
                <w:color w:val="auto"/>
                <w:szCs w:val="24"/>
                <w:lang w:val="en-GB"/>
              </w:rPr>
              <w:t>Story-</w:t>
            </w:r>
            <w:r>
              <w:rPr>
                <w:rFonts w:cs="Tahoma" w:ascii="Corbel" w:hAnsi="Corbel"/>
                <w:i/>
                <w:iCs/>
                <w:color w:val="auto"/>
                <w:szCs w:val="24"/>
                <w:lang w:val="en-GB"/>
              </w:rPr>
              <w:t>Telling</w:t>
            </w:r>
            <w:r>
              <w:rPr>
                <w:rFonts w:cs="Tahoma" w:ascii="Corbel" w:hAnsi="Corbel"/>
                <w:color w:val="auto"/>
                <w:szCs w:val="24"/>
                <w:lang w:val="en-GB"/>
              </w:rPr>
              <w:t xml:space="preserve"> the ideology and the “meaning” narrative, repetition, cycle and repetitive elements of common narratives and discourses; introducing </w:t>
            </w:r>
            <w:r>
              <w:rPr>
                <w:rFonts w:cs="Tahoma" w:ascii="Corbel" w:hAnsi="Corbel"/>
                <w:i/>
                <w:iCs/>
                <w:color w:val="auto"/>
                <w:szCs w:val="24"/>
                <w:lang w:val="en-GB"/>
              </w:rPr>
              <w:t>the interface</w:t>
            </w:r>
            <w:r>
              <w:rPr>
                <w:rFonts w:cs="Tahoma" w:ascii="Corbel" w:hAnsi="Corbel"/>
                <w:i w:val="false"/>
                <w:iCs w:val="false"/>
                <w:color w:val="auto"/>
                <w:szCs w:val="24"/>
                <w:lang w:val="en-GB"/>
              </w:rPr>
              <w:t xml:space="preserve"> and </w:t>
            </w:r>
            <w:r>
              <w:rPr>
                <w:rFonts w:cs="Tahoma" w:ascii="Corbel" w:hAnsi="Corbel"/>
                <w:i/>
                <w:iCs/>
                <w:color w:val="auto"/>
                <w:szCs w:val="24"/>
                <w:lang w:val="en-GB"/>
              </w:rPr>
              <w:t>the medium</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color w:val="auto"/>
                <w:szCs w:val="24"/>
                <w:lang w:val="en-GB"/>
              </w:rPr>
            </w:pPr>
            <w:r>
              <w:rPr>
                <w:rFonts w:cs="Tahoma" w:ascii="Corbel" w:hAnsi="Corbel"/>
                <w:i/>
                <w:iCs/>
                <w:color w:val="auto"/>
                <w:szCs w:val="24"/>
                <w:lang w:val="en-GB"/>
              </w:rPr>
              <w:t>Immersion</w:t>
            </w:r>
            <w:r>
              <w:rPr>
                <w:rFonts w:cs="Tahoma" w:ascii="Corbel" w:hAnsi="Corbel"/>
                <w:i w:val="false"/>
                <w:iCs w:val="false"/>
                <w:color w:val="auto"/>
                <w:szCs w:val="24"/>
                <w:lang w:val="en-GB"/>
              </w:rPr>
              <w:t>, “</w:t>
            </w:r>
            <w:r>
              <w:rPr>
                <w:rFonts w:cs="Tahoma" w:ascii="Corbel" w:hAnsi="Corbel"/>
                <w:i/>
                <w:iCs/>
                <w:color w:val="auto"/>
                <w:szCs w:val="24"/>
                <w:lang w:val="en-GB"/>
              </w:rPr>
              <w:t>call to action”</w:t>
            </w:r>
            <w:r>
              <w:rPr>
                <w:rFonts w:cs="Tahoma" w:ascii="Corbel" w:hAnsi="Corbel"/>
                <w:i w:val="false"/>
                <w:iCs w:val="false"/>
                <w:color w:val="auto"/>
                <w:szCs w:val="24"/>
                <w:lang w:val="en-GB"/>
              </w:rPr>
              <w:t xml:space="preserve">, performativity and popular media, engagement control and authenticity creations; the role of the narrative market: market of narratives, story as commodity, fantasy and realisms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Working cases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b w:val="false"/>
          <w:i/>
          <w:caps w:val="false"/>
          <w:smallCaps w:val="false"/>
          <w:color w:val="auto"/>
          <w:szCs w:val="24"/>
          <w:lang w:val="en-GB"/>
        </w:rPr>
        <w:t>Classes (active teaching)</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and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color w:val="auto"/>
                <w:szCs w:val="24"/>
                <w:lang w:val="en-GB" w:eastAsia="pl-PL"/>
              </w:rPr>
              <w:t>LO-01-04</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b w:val="false"/>
                <w:i/>
                <w:sz w:val="22"/>
                <w:lang w:val="en-GB"/>
              </w:rPr>
              <w:t>Continuous assessment:</w:t>
              <w:br/>
              <w:t>Active participation, Homework, Microsimulation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val="en-GB" w:eastAsia="pl-PL"/>
              </w:rPr>
            </w:pPr>
            <w:r>
              <w:rPr>
                <w:rFonts w:ascii="Corbel" w:hAnsi="Corbel"/>
                <w:b w:val="false"/>
                <w:color w:val="auto"/>
                <w:szCs w:val="20"/>
                <w:lang w:val="en-GB" w:eastAsia="pl-PL"/>
              </w:rPr>
              <w:t>Lectures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55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2</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Style w:val="InternetLink"/>
                <w:rFonts w:cs="Tahoma" w:ascii="Corbel" w:hAnsi="Corbel"/>
                <w:b w:val="false"/>
                <w:caps w:val="false"/>
                <w:smallCaps w:val="false"/>
                <w:color w:val="auto"/>
                <w:sz w:val="20"/>
                <w:szCs w:val="24"/>
                <w:lang w:val="en-GB" w:eastAsia="pl-PL"/>
              </w:rPr>
              <w:t>Phelan J., Rabinowith P.J., (ed.) A Companion to Narrative Theory, Blackwell Publishing, Kundli 2005</w:t>
            </w:r>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(essential elements of the course are varied media and online materials proposed by participants including, but not limited to: movie, tv and online show, games, public lectures, articles, online materials etc.</w:t>
            </w:r>
          </w:p>
          <w:p>
            <w:pPr>
              <w:pStyle w:val="Punktygwne"/>
              <w:widowControl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Bourdieu P, Nice R. </w:t>
            </w:r>
            <w:r>
              <w:rPr>
                <w:rFonts w:eastAsia="Arial CE" w:cs="Times New Roman"/>
                <w:b w:val="false"/>
                <w:i/>
                <w:iCs/>
                <w:caps w:val="false"/>
                <w:smallCaps w:val="false"/>
                <w:color w:val="auto"/>
                <w:sz w:val="22"/>
                <w:szCs w:val="22"/>
                <w:lang w:val="pl-PL" w:eastAsia="pl-PL"/>
              </w:rPr>
              <w:t>The production of belief: contribution to an economy of symbolic goods</w:t>
            </w:r>
            <w:r>
              <w:rPr>
                <w:rFonts w:eastAsia="Arial CE" w:cs="Times New Roman"/>
                <w:b w:val="false"/>
                <w:i w:val="false"/>
                <w:iCs w:val="false"/>
                <w:caps w:val="false"/>
                <w:smallCaps w:val="false"/>
                <w:color w:val="auto"/>
                <w:sz w:val="22"/>
                <w:szCs w:val="22"/>
                <w:lang w:val="pl-PL" w:eastAsia="pl-PL"/>
              </w:rPr>
              <w:t xml:space="preserve">, "Media, culture &amp; society". 1980 2(3):261 </w:t>
            </w:r>
          </w:p>
          <w:p>
            <w:pPr>
              <w:pStyle w:val="Punktygwne"/>
              <w:widowControl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Bourdieu P, Wacquant L. </w:t>
            </w:r>
            <w:r>
              <w:rPr>
                <w:rFonts w:eastAsia="Arial CE" w:cs="Times New Roman"/>
                <w:b w:val="false"/>
                <w:i/>
                <w:iCs/>
                <w:caps w:val="false"/>
                <w:smallCaps w:val="false"/>
                <w:color w:val="auto"/>
                <w:sz w:val="22"/>
                <w:szCs w:val="22"/>
                <w:lang w:val="pl-PL" w:eastAsia="pl-PL"/>
              </w:rPr>
              <w:t xml:space="preserve"> Neoliberal newspeak: notes on the new planetary vulgate</w:t>
            </w:r>
            <w:r>
              <w:rPr>
                <w:rFonts w:eastAsia="Arial CE" w:cs="Times New Roman"/>
                <w:b w:val="false"/>
                <w:i w:val="false"/>
                <w:iCs w:val="false"/>
                <w:caps w:val="false"/>
                <w:smallCaps w:val="false"/>
                <w:color w:val="auto"/>
                <w:sz w:val="22"/>
                <w:szCs w:val="22"/>
                <w:lang w:val="pl-PL" w:eastAsia="pl-PL"/>
              </w:rPr>
              <w:t xml:space="preserve">, tr. Macey D. and  </w:t>
            </w:r>
            <w:r>
              <w:rPr>
                <w:rFonts w:eastAsia="Arial" w:cs="Times New Roman"/>
                <w:b w:val="false"/>
                <w:i w:val="false"/>
                <w:iCs w:val="false"/>
                <w:caps w:val="false"/>
                <w:smallCaps w:val="false"/>
                <w:color w:val="auto"/>
                <w:sz w:val="22"/>
                <w:szCs w:val="22"/>
                <w:lang w:val="en-US" w:eastAsia="pl-PL"/>
              </w:rPr>
              <w:t>Wacquant</w:t>
            </w:r>
            <w:r>
              <w:rPr>
                <w:rFonts w:eastAsia="Arial CE" w:cs="Times New Roman"/>
                <w:b w:val="false"/>
                <w:i w:val="false"/>
                <w:iCs w:val="false"/>
                <w:caps w:val="false"/>
                <w:smallCaps w:val="false"/>
                <w:color w:val="auto"/>
                <w:sz w:val="22"/>
                <w:szCs w:val="22"/>
                <w:lang w:val="pl-PL" w:eastAsia="pl-PL"/>
              </w:rPr>
              <w:t xml:space="preserve"> L.  "Radical Philosophy", 108, January 2001. </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Goc N,</w:t>
            </w:r>
            <w:r>
              <w:rPr>
                <w:rFonts w:eastAsia="Arial CE" w:cs="Times New Roman"/>
                <w:b w:val="false"/>
                <w:i/>
                <w:iCs/>
                <w:caps w:val="false"/>
                <w:smallCaps w:val="false"/>
                <w:color w:val="auto"/>
                <w:sz w:val="22"/>
                <w:szCs w:val="22"/>
                <w:lang w:val="pl-PL" w:eastAsia="pl-PL"/>
              </w:rPr>
              <w:t xml:space="preserve"> 2007, ‘Monstrous Mother’ and the Media, </w:t>
            </w:r>
            <w:r>
              <w:rPr>
                <w:rFonts w:eastAsia="Arial CE" w:cs="Times New Roman"/>
                <w:b w:val="false"/>
                <w:i w:val="false"/>
                <w:iCs w:val="false"/>
                <w:caps w:val="false"/>
                <w:smallCaps w:val="false"/>
                <w:color w:val="auto"/>
                <w:sz w:val="22"/>
                <w:szCs w:val="22"/>
                <w:lang w:val="pl-PL" w:eastAsia="pl-PL"/>
              </w:rPr>
              <w:t>[w:]</w:t>
            </w:r>
            <w:r>
              <w:rPr>
                <w:rFonts w:eastAsia="Arial CE" w:cs="Times New Roman"/>
                <w:b w:val="false"/>
                <w:i/>
                <w:iCs/>
                <w:caps w:val="false"/>
                <w:smallCaps w:val="false"/>
                <w:color w:val="auto"/>
                <w:sz w:val="22"/>
                <w:szCs w:val="22"/>
                <w:lang w:val="pl-PL" w:eastAsia="pl-PL"/>
              </w:rPr>
              <w:t xml:space="preserve"> Monsters And The Monstrous: Myths and Metaphors of Enduring Evil, ed. N. Scott, Amsterdam-New York, s. 149-167</w:t>
            </w:r>
          </w:p>
          <w:p>
            <w:pPr>
              <w:pStyle w:val="Normal"/>
              <w:widowControl w:val="false"/>
              <w:snapToGrid w:val="false"/>
              <w:spacing w:before="0" w:after="0"/>
              <w:rPr>
                <w:rFonts w:ascii="Times New Roman" w:hAnsi="Times New Roman" w:eastAsia="Arial CE" w:cs="Times New Roman"/>
                <w:i/>
                <w:i/>
                <w:iCs/>
                <w:sz w:val="22"/>
                <w:szCs w:val="22"/>
                <w:lang w:val="pl-PL"/>
              </w:rPr>
            </w:pPr>
            <w:r>
              <w:rPr>
                <w:rFonts w:eastAsia="Arial CE" w:cs="Times New Roman"/>
                <w:i/>
                <w:iCs/>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Jenkins H., </w:t>
            </w:r>
            <w:r>
              <w:rPr>
                <w:rFonts w:eastAsia="Arial CE" w:cs="Times New Roman"/>
                <w:b w:val="false"/>
                <w:i/>
                <w:iCs/>
                <w:caps w:val="false"/>
                <w:smallCaps w:val="false"/>
                <w:color w:val="auto"/>
                <w:sz w:val="22"/>
                <w:szCs w:val="22"/>
                <w:lang w:val="pl-PL" w:eastAsia="pl-PL"/>
              </w:rPr>
              <w:t>Game design as a narrative architecture</w:t>
            </w:r>
            <w:r>
              <w:rPr>
                <w:rFonts w:eastAsia="Arial CE" w:cs="Times New Roman"/>
                <w:b w:val="false"/>
                <w:i w:val="false"/>
                <w:iCs w:val="false"/>
                <w:caps w:val="false"/>
                <w:smallCaps w:val="false"/>
                <w:color w:val="auto"/>
                <w:sz w:val="22"/>
                <w:szCs w:val="22"/>
                <w:lang w:val="pl-PL" w:eastAsia="pl-PL"/>
              </w:rPr>
              <w:t>, [online:] https://www.google.com/url?sa=t&amp;rct=j&amp;q=&amp;esrc=s&amp;source=web&amp;cd=1&amp;ved=2ahUKEwjxu7fv7KTfAhXC_aQKHcZuBdUQFjAAegQICRAC&amp;url=http%3A%2F%2Fhomes.lmc.gatech.edu%2F~bogost%2Fcourses%2Fspring07%2Flcc3710%2Freadings%2Fjenkins_game-design.pdf&amp;usg=AOvVaw3NpXmuxLEPjj8GTEx3-1Fj</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LaCapra D. </w:t>
            </w:r>
            <w:r>
              <w:rPr>
                <w:rFonts w:eastAsia="Arial CE" w:cs="Times New Roman"/>
                <w:b w:val="false"/>
                <w:i/>
                <w:iCs/>
                <w:caps w:val="false"/>
                <w:smallCaps w:val="false"/>
                <w:color w:val="auto"/>
                <w:sz w:val="22"/>
                <w:szCs w:val="22"/>
                <w:lang w:val="pl-PL" w:eastAsia="pl-PL"/>
              </w:rPr>
              <w:t>Trauma, absence, loss</w:t>
            </w:r>
            <w:r>
              <w:rPr>
                <w:rFonts w:eastAsia="Arial CE" w:cs="Times New Roman"/>
                <w:b w:val="false"/>
                <w:i w:val="false"/>
                <w:iCs w:val="false"/>
                <w:caps w:val="false"/>
                <w:smallCaps w:val="false"/>
                <w:color w:val="auto"/>
                <w:sz w:val="22"/>
                <w:szCs w:val="22"/>
                <w:lang w:val="pl-PL" w:eastAsia="pl-PL"/>
              </w:rPr>
              <w:t>, "Critical Inquiry", Vol 25. No. 4. (Summer 1999) pp 696-727</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Mirzoeff N. </w:t>
            </w:r>
            <w:r>
              <w:rPr>
                <w:rFonts w:eastAsia="Arial CE" w:cs="Times New Roman"/>
                <w:b w:val="false"/>
                <w:i/>
                <w:iCs/>
                <w:caps w:val="false"/>
                <w:smallCaps w:val="false"/>
                <w:color w:val="auto"/>
                <w:sz w:val="22"/>
                <w:szCs w:val="22"/>
                <w:lang w:val="pl-PL" w:eastAsia="pl-PL"/>
              </w:rPr>
              <w:t>Invisible empire: Visual culture, embodied spectacle, and Abu Ghraib</w:t>
            </w:r>
            <w:r>
              <w:rPr>
                <w:rFonts w:eastAsia="Arial CE" w:cs="Times New Roman"/>
                <w:b w:val="false"/>
                <w:i w:val="false"/>
                <w:iCs w:val="false"/>
                <w:caps w:val="false"/>
                <w:smallCaps w:val="false"/>
                <w:color w:val="auto"/>
                <w:sz w:val="22"/>
                <w:szCs w:val="22"/>
                <w:lang w:val="pl-PL" w:eastAsia="pl-PL"/>
              </w:rPr>
              <w:t xml:space="preserve">, "Radical History Review" 2006 95:21 </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lineRule="auto" w:line="240" w:before="0" w:after="0"/>
              <w:rPr>
                <w:rFonts w:ascii="Corbel" w:hAnsi="Corbel" w:cs="Tahoma"/>
                <w:b w:val="false"/>
                <w:b w:val="false"/>
                <w:caps w:val="false"/>
                <w:smallCaps w:val="false"/>
                <w:color w:val="auto"/>
                <w:szCs w:val="24"/>
                <w:lang w:val="en-GB" w:eastAsia="pl-PL"/>
              </w:rPr>
            </w:pPr>
            <w:r>
              <w:rPr>
                <w:rFonts w:eastAsia="Arial CE" w:cs="Times New Roman" w:ascii="Corbel" w:hAnsi="Corbel"/>
                <w:b w:val="false"/>
                <w:i w:val="false"/>
                <w:iCs w:val="false"/>
                <w:caps w:val="false"/>
                <w:smallCaps w:val="false"/>
                <w:color w:val="auto"/>
                <w:sz w:val="22"/>
                <w:szCs w:val="22"/>
                <w:lang w:val="pl-PL" w:eastAsia="pl-PL"/>
              </w:rPr>
              <w:t xml:space="preserve">Said E.W </w:t>
            </w:r>
            <w:r>
              <w:rPr>
                <w:rFonts w:eastAsia="Arial CE" w:cs="Times New Roman" w:ascii="Corbel" w:hAnsi="Corbel"/>
                <w:b w:val="false"/>
                <w:i/>
                <w:iCs/>
                <w:caps w:val="false"/>
                <w:smallCaps w:val="false"/>
                <w:color w:val="auto"/>
                <w:sz w:val="22"/>
                <w:szCs w:val="22"/>
                <w:lang w:val="pl-PL" w:eastAsia="pl-PL"/>
              </w:rPr>
              <w:t>The clash of ignorance</w:t>
            </w:r>
            <w:r>
              <w:rPr>
                <w:rFonts w:eastAsia="Arial CE" w:cs="Times New Roman" w:ascii="Corbel" w:hAnsi="Corbel"/>
                <w:b w:val="false"/>
                <w:i w:val="false"/>
                <w:iCs w:val="false"/>
                <w:caps w:val="false"/>
                <w:smallCaps w:val="false"/>
                <w:color w:val="auto"/>
                <w:sz w:val="22"/>
                <w:szCs w:val="22"/>
                <w:lang w:val="pl-PL" w:eastAsia="pl-PL"/>
              </w:rPr>
              <w:t xml:space="preserve">, The Nation 10.22.2001 [online:] https://www.thenation.com/article/clash-ignorance/ </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2"/>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fals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fals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fals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fals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LibreOffice/7.3.7.2$Linux_X86_64 LibreOffice_project/30$Build-2</Application>
  <AppVersion>15.0000</AppVersion>
  <Pages>6</Pages>
  <Words>1037</Words>
  <Characters>6545</Characters>
  <CharactersWithSpaces>7607</CharactersWithSpaces>
  <Paragraphs>152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2026-02-21T19:28:11Z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