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orbel" w:hAnsi="Corbel" w:cs="Tahoma"/>
          <w:color w:val="auto"/>
          <w:lang w:val="en-GB"/>
        </w:rPr>
      </w:pPr>
      <w:r>
        <w:rPr>
          <w:rFonts w:cs="Tahoma" w:ascii="Corbel" w:hAnsi="Corbel"/>
          <w:color w:val="auto"/>
          <w:sz w:val="20"/>
          <w:szCs w:val="20"/>
          <w:lang w:val="en-GB"/>
        </w:rPr>
        <w:t xml:space="preserve">Appendix No. 1.5 to the Resolution No. 7/2023 </w:t>
      </w:r>
    </w:p>
    <w:p>
      <w:pPr>
        <w:pStyle w:val="Normal"/>
        <w:rPr>
          <w:rFonts w:ascii="Corbel" w:hAnsi="Corbel" w:cs="Tahoma"/>
          <w:color w:val="auto"/>
          <w:lang w:val="en-GB"/>
        </w:rPr>
      </w:pPr>
      <w:r>
        <w:rPr>
          <w:rFonts w:cs="Tahoma" w:ascii="Corbel" w:hAnsi="Corbel"/>
          <w:color w:val="auto"/>
          <w:sz w:val="20"/>
          <w:szCs w:val="20"/>
          <w:lang w:val="en-GB"/>
        </w:rPr>
        <w:t xml:space="preserve">                                                                                                                                                      </w:t>
      </w:r>
      <w:r>
        <w:rPr>
          <w:rFonts w:cs="Tahoma" w:ascii="Corbel" w:hAnsi="Corbel"/>
          <w:color w:val="auto"/>
          <w:sz w:val="20"/>
          <w:szCs w:val="20"/>
          <w:lang w:val="en-GB"/>
        </w:rPr>
        <w:t>of the Rector of the University of Rzeszów</w:t>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w:t>
      </w:r>
      <w:r>
        <w:rPr>
          <w:rFonts w:cs="Tahoma" w:ascii="Corbel" w:hAnsi="Corbel"/>
          <w:b/>
          <w:bCs/>
          <w:smallCaps/>
          <w:color w:val="auto"/>
          <w:szCs w:val="24"/>
          <w:lang w:val="en-GB"/>
        </w:rPr>
        <w:t>6</w:t>
      </w:r>
      <w:r>
        <w:rPr>
          <w:rFonts w:cs="Tahoma" w:ascii="Corbel" w:hAnsi="Corbel"/>
          <w:b/>
          <w:bCs/>
          <w:smallCaps/>
          <w:color w:val="auto"/>
          <w:szCs w:val="24"/>
          <w:lang w:val="en-GB"/>
        </w:rPr>
        <w:t xml:space="preserve"> TO 202</w:t>
      </w:r>
      <w:r>
        <w:rPr>
          <w:rFonts w:cs="Tahoma" w:ascii="Corbel" w:hAnsi="Corbel"/>
          <w:b/>
          <w:bCs/>
          <w:smallCaps/>
          <w:color w:val="auto"/>
          <w:szCs w:val="24"/>
          <w:lang w:val="en-GB"/>
        </w:rPr>
        <w:t>7</w:t>
      </w:r>
    </w:p>
    <w:p>
      <w:pPr>
        <w:pStyle w:val="Normal"/>
        <w:tabs>
          <w:tab w:val="clear" w:pos="708"/>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Layout w:type="fixed"/>
        <w:tblCellMar>
          <w:top w:w="0" w:type="dxa"/>
          <w:left w:w="98" w:type="dxa"/>
          <w:bottom w:w="0" w:type="dxa"/>
          <w:right w:w="108" w:type="dxa"/>
        </w:tblCellMar>
        <w:tblLook w:val="04a0" w:noHBand="0" w:noVBand="1" w:firstColumn="1" w:lastRow="0" w:lastColumn="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Ethics of a Game – practices, representation, and moral challenges of interactive culture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Dept. of Pedagogy and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 xml:space="preserve">BA </w:t>
            </w:r>
            <w:r>
              <w:rPr>
                <w:rFonts w:cs="Tahoma" w:ascii="Corbel" w:hAnsi="Corbel"/>
                <w:b w:val="false"/>
                <w:i/>
                <w:color w:val="auto"/>
                <w:sz w:val="24"/>
                <w:szCs w:val="24"/>
                <w:lang w:val="en-GB"/>
              </w:rPr>
              <w:t>(MA as supplementary)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2nd year, summer term</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Elective (supplementary)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1051"/>
        <w:gridCol w:w="954"/>
        <w:gridCol w:w="961"/>
        <w:gridCol w:w="1011"/>
        <w:gridCol w:w="927"/>
        <w:gridCol w:w="988"/>
        <w:gridCol w:w="972"/>
        <w:gridCol w:w="1204"/>
        <w:gridCol w:w="751"/>
        <w:gridCol w:w="813"/>
      </w:tblGrid>
      <w:tr>
        <w:trPr/>
        <w:tc>
          <w:tcPr>
            <w:tcW w:w="105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5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5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lang w:val="en-GB"/>
              </w:rPr>
            </w:pPr>
            <w:r>
              <w:rPr>
                <w:rFonts w:eastAsia="Calibri" w:cs="Tahoma" w:ascii="Corbel" w:hAnsi="Corbel"/>
                <w:color w:val="auto"/>
                <w:sz w:val="24"/>
                <w:lang w:val="en-GB"/>
              </w:rPr>
              <w:t>30</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3"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3</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w:t>
      </w:r>
      <w:r>
        <w:rPr>
          <w:rFonts w:cs="Tahoma" w:ascii="Corbel" w:hAnsi="Corbel"/>
          <w:b/>
          <w:bCs/>
          <w:caps w:val="false"/>
          <w:smallCaps w:val="false"/>
          <w:color w:val="auto"/>
          <w:szCs w:val="24"/>
          <w:lang w:val="en-GB"/>
        </w:rPr>
        <w:t>pass with a grade</w:t>
      </w:r>
      <w:r>
        <w:rPr>
          <w:rFonts w:cs="Tahoma" w:ascii="Corbel" w:hAnsi="Corbel"/>
          <w:b w:val="false"/>
          <w:caps w:val="false"/>
          <w:smallCaps w:val="false"/>
          <w:color w:val="auto"/>
          <w:szCs w:val="24"/>
          <w:lang w:val="en-GB"/>
        </w:rPr>
        <w:t xml:space="preserv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caps w:val="false"/>
          <w:smallCaps w:val="false"/>
          <w:color w:val="auto"/>
          <w:szCs w:val="24"/>
          <w:lang w:val="en-GB"/>
        </w:rPr>
        <w:t>exam</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40" w:after="40"/>
              <w:rPr>
                <w:lang w:val="en-GB"/>
              </w:rPr>
            </w:pPr>
            <w:r>
              <w:rPr>
                <w:rFonts w:cs="Tahoma" w:ascii="Corbel" w:hAnsi="Corbel"/>
                <w:b w:val="false"/>
                <w:caps w:val="false"/>
                <w:smallCaps w:val="false"/>
                <w:color w:val="auto"/>
                <w:szCs w:val="20"/>
                <w:lang w:val="en-GB" w:eastAsia="pl-PL"/>
              </w:rPr>
              <w:t xml:space="preserve">Basic knowledge (high-school level) of history, culture and social relationships </w:t>
            </w:r>
            <w:r>
              <w:rPr>
                <w:rFonts w:cs="Tahoma" w:ascii="Corbel" w:hAnsi="Corbel"/>
                <w:b w:val="false"/>
                <w:caps w:val="false"/>
                <w:smallCaps w:val="false"/>
                <w:color w:val="auto"/>
                <w:szCs w:val="20"/>
                <w:lang w:val="en-GB" w:eastAsia="pl-PL"/>
              </w:rPr>
              <w:t>and some level of participation in the interactive culture (as such).</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t>General description:</w:t>
            </w:r>
          </w:p>
          <w:p>
            <w:pPr>
              <w:pStyle w:val="Podpunkt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t>The main issue of the subject is an introduction into topics related to ‘interactive culture’, that is: the fields usually recognised as ‘games’ and adjacent territories (fandoms, modding, marketing and markets, education/edutaiment etc.) . However discussed material there won’t be limited to the ‘video game’ (or ‘computer game’) as such. We shall include also debating about broadly understood ‘interactivity’ and its emergent fields. We also will be examining how the artifacts and activities in these fields address, reinforce and project particular ethical stances, practices and values, through particularities of ‘genre’, forms of expression (interface, environmental storytelling etc.), devices and politics of creation, distribution and marketing.</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Introduction to deeper reflection on the tpic of interactive culture and ‘entertaiment’</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le"/>
              <w:widowControl w:val="fals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 xml:space="preserve">Preparation to critical analysis of modes, values and means of </w:t>
            </w:r>
            <w:r>
              <w:rPr>
                <w:rFonts w:eastAsia="Calibri" w:cs="Tahoma" w:ascii="Corbel" w:hAnsi="Corbel"/>
                <w:b w:val="false"/>
                <w:i/>
                <w:color w:val="auto"/>
                <w:sz w:val="24"/>
                <w:lang w:val="en-GB"/>
              </w:rPr>
              <w:t>evaluation of these phenomenons</w:t>
            </w:r>
            <w:r>
              <w:rPr>
                <w:rFonts w:eastAsia="Calibri" w:cs="Tahoma" w:ascii="Corbel" w:hAnsi="Corbel"/>
                <w:b w:val="false"/>
                <w:i/>
                <w:color w:val="auto"/>
                <w:sz w:val="24"/>
                <w:lang w:val="en-GB"/>
              </w:rPr>
              <w:t xml:space="preserve"> in practice (including self-reflection)</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further study and critique based on students’ own research (adv. level)</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Layout w:type="fixed"/>
        <w:tblCellMar>
          <w:top w:w="0" w:type="dxa"/>
          <w:left w:w="98" w:type="dxa"/>
          <w:bottom w:w="0" w:type="dxa"/>
          <w:right w:w="108" w:type="dxa"/>
        </w:tblCellMar>
        <w:tblLook w:val="04a0" w:noHBand="0" w:noVBand="1" w:firstColumn="1" w:lastRow="0" w:lastColumn="0" w:firstRow="1"/>
      </w:tblPr>
      <w:tblGrid>
        <w:gridCol w:w="2373"/>
        <w:gridCol w:w="4592"/>
        <w:gridCol w:w="2559"/>
      </w:tblGrid>
      <w:tr>
        <w:trPr/>
        <w:tc>
          <w:tcPr>
            <w:tcW w:w="237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 xml:space="preserve">Student knows and </w:t>
            </w:r>
            <w:r>
              <w:rPr>
                <w:rFonts w:cs="Tahoma" w:ascii="Corbel" w:hAnsi="Corbel"/>
                <w:b w:val="false"/>
                <w:caps w:val="false"/>
                <w:smallCaps w:val="false"/>
                <w:color w:val="auto"/>
                <w:szCs w:val="20"/>
                <w:lang w:val="en-GB" w:eastAsia="pl-PL"/>
              </w:rPr>
              <w:t>recognise non-trivial issues in the main area of subject.</w:t>
            </w:r>
          </w:p>
        </w:tc>
        <w:tc>
          <w:tcPr>
            <w:tcW w:w="255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bCs/>
                <w:caps w:val="false"/>
                <w:smallCaps w:val="false"/>
                <w:szCs w:val="24"/>
              </w:rPr>
            </w:pPr>
            <w:r>
              <w:rPr>
                <w:b w:val="false"/>
                <w:bCs/>
                <w:color w:val="000000"/>
                <w:sz w:val="27"/>
                <w:szCs w:val="27"/>
              </w:rPr>
              <w:t xml:space="preserve">K_W01, </w:t>
            </w:r>
            <w:r>
              <w:rPr>
                <w:rFonts w:ascii="Corbel" w:hAnsi="Corbel"/>
                <w:b w:val="false"/>
                <w:bCs/>
                <w:caps w:val="false"/>
                <w:smallCaps w:val="false"/>
                <w:color w:val="000000"/>
                <w:sz w:val="27"/>
                <w:szCs w:val="24"/>
              </w:rPr>
              <w:t>K_W02,</w:t>
            </w:r>
          </w:p>
          <w:p>
            <w:pPr>
              <w:pStyle w:val="Punktygwne"/>
              <w:widowControl w:val="false"/>
              <w:spacing w:before="0" w:after="0"/>
              <w:rPr>
                <w:rFonts w:ascii="Corbel" w:hAnsi="Corbel"/>
                <w:b w:val="false"/>
                <w:b w:val="false"/>
                <w:bCs/>
                <w:caps w:val="false"/>
                <w:smallCaps w:val="false"/>
                <w:szCs w:val="24"/>
              </w:rPr>
            </w:pPr>
            <w:r>
              <w:rPr>
                <w:rFonts w:ascii="Corbel" w:hAnsi="Corbel"/>
                <w:b w:val="false"/>
                <w:bCs/>
                <w:caps w:val="false"/>
                <w:smallCaps w:val="false"/>
                <w:color w:val="000000"/>
                <w:sz w:val="27"/>
                <w:szCs w:val="24"/>
                <w:lang w:val="en-GB"/>
              </w:rPr>
              <w:t>K_W05</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 xml:space="preserve">Student </w:t>
            </w:r>
            <w:r>
              <w:rPr>
                <w:rFonts w:cs="Tahoma" w:ascii="Corbel" w:hAnsi="Corbel"/>
                <w:b w:val="false"/>
                <w:caps w:val="false"/>
                <w:smallCaps w:val="false"/>
                <w:color w:val="auto"/>
                <w:szCs w:val="20"/>
                <w:lang w:val="en-GB" w:eastAsia="pl-PL"/>
              </w:rPr>
              <w:t>is able to analyse and critique of said issue/presentation.</w:t>
            </w:r>
          </w:p>
        </w:tc>
        <w:tc>
          <w:tcPr>
            <w:tcW w:w="255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bCs/>
                <w:caps w:val="false"/>
                <w:smallCaps w:val="false"/>
                <w:szCs w:val="24"/>
              </w:rPr>
            </w:pPr>
            <w:r>
              <w:rPr>
                <w:b w:val="false"/>
                <w:bCs/>
                <w:color w:val="000000"/>
                <w:sz w:val="27"/>
                <w:szCs w:val="27"/>
              </w:rPr>
              <w:t>K_U04,</w:t>
            </w:r>
          </w:p>
          <w:p>
            <w:pPr>
              <w:pStyle w:val="Punktygwne"/>
              <w:widowControl w:val="false"/>
              <w:spacing w:before="0" w:after="0"/>
              <w:rPr>
                <w:rFonts w:ascii="Corbel" w:hAnsi="Corbel"/>
                <w:b w:val="false"/>
                <w:b w:val="false"/>
                <w:bCs/>
                <w:caps w:val="false"/>
                <w:smallCaps w:val="false"/>
                <w:szCs w:val="24"/>
              </w:rPr>
            </w:pPr>
            <w:r>
              <w:rPr>
                <w:rFonts w:cs="Tahoma" w:ascii="Corbel" w:hAnsi="Corbel"/>
                <w:b w:val="false"/>
                <w:bCs/>
                <w:caps w:val="false"/>
                <w:smallCaps w:val="false"/>
                <w:color w:val="000000"/>
                <w:sz w:val="27"/>
                <w:szCs w:val="27"/>
                <w:lang w:val="en-GB" w:eastAsia="pl-PL"/>
              </w:rPr>
              <w:t>K_U06,</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understands and is able to evaluate significance (ethical, political…) of ‘interactive culture’ and adjacent fields.</w:t>
            </w:r>
          </w:p>
        </w:tc>
        <w:tc>
          <w:tcPr>
            <w:tcW w:w="255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bCs/>
                <w:caps w:val="false"/>
                <w:smallCaps w:val="false"/>
                <w:szCs w:val="24"/>
              </w:rPr>
            </w:pPr>
            <w:r>
              <w:rPr>
                <w:b w:val="false"/>
                <w:bCs/>
                <w:color w:val="000000"/>
                <w:sz w:val="27"/>
                <w:szCs w:val="27"/>
              </w:rPr>
              <w:t xml:space="preserve">K_K01, </w:t>
            </w:r>
          </w:p>
          <w:p>
            <w:pPr>
              <w:pStyle w:val="Punktygwne"/>
              <w:widowControl w:val="false"/>
              <w:spacing w:before="0" w:after="0"/>
              <w:rPr>
                <w:rFonts w:ascii="Corbel" w:hAnsi="Corbel"/>
                <w:b w:val="false"/>
                <w:b w:val="false"/>
                <w:bCs/>
                <w:caps w:val="false"/>
                <w:smallCaps w:val="false"/>
                <w:szCs w:val="24"/>
              </w:rPr>
            </w:pPr>
            <w:r>
              <w:rPr>
                <w:b w:val="false"/>
                <w:bCs/>
                <w:color w:val="000000"/>
                <w:sz w:val="27"/>
                <w:szCs w:val="27"/>
              </w:rPr>
              <w:t>K_U02</w:t>
            </w:r>
          </w:p>
          <w:p>
            <w:pPr>
              <w:pStyle w:val="Punktygwne"/>
              <w:widowControl w:val="false"/>
              <w:spacing w:before="0" w:after="0"/>
              <w:rPr>
                <w:rFonts w:ascii="Corbel" w:hAnsi="Corbel"/>
                <w:b w:val="false"/>
                <w:b w:val="false"/>
                <w:bCs/>
                <w:caps w:val="false"/>
                <w:smallCaps w:val="false"/>
                <w:szCs w:val="24"/>
              </w:rPr>
            </w:pPr>
            <w:r>
              <w:rPr>
                <w:rFonts w:ascii="Corbel" w:hAnsi="Corbel"/>
                <w:b w:val="false"/>
                <w:bCs/>
                <w:caps w:val="false"/>
                <w:smallCaps w:val="false"/>
                <w:color w:val="000000"/>
                <w:sz w:val="27"/>
                <w:szCs w:val="27"/>
                <w:lang w:val="en-GB"/>
              </w:rPr>
              <w:t>K_K03</w:t>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p>
            <w:pPr>
              <w:pStyle w:val="ListParagraph"/>
              <w:widowControl w:val="false"/>
              <w:spacing w:lineRule="auto" w:line="240" w:before="0" w:after="0"/>
              <w:ind w:left="708" w:hanging="708"/>
              <w:contextualSpacing/>
              <w:rPr>
                <w:rFonts w:ascii="Corbel" w:hAnsi="Corbel" w:cs="Tahoma"/>
                <w:color w:val="auto"/>
                <w:szCs w:val="24"/>
                <w:lang w:val="en-GB"/>
              </w:rPr>
            </w:pPr>
            <w:r>
              <w:rPr/>
            </w:r>
          </w:p>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NOTE: material below is an introduction to the discussion, students will actively shape the content pointing their particular interests and examples to analyse.</w:t>
            </w:r>
          </w:p>
          <w:p>
            <w:pPr>
              <w:pStyle w:val="ListParagraph"/>
              <w:widowControl w:val="false"/>
              <w:spacing w:lineRule="auto" w:line="240" w:before="0" w:after="0"/>
              <w:ind w:left="708" w:hanging="708"/>
              <w:contextualSpacing/>
              <w:rPr>
                <w:rFonts w:ascii="Corbel" w:hAnsi="Corbel" w:cs="Tahoma"/>
                <w:color w:val="auto"/>
                <w:szCs w:val="24"/>
                <w:lang w:val="en-GB"/>
              </w:rPr>
            </w:pPr>
            <w:r>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w:t>
            </w:r>
            <w:r>
              <w:rPr>
                <w:rFonts w:cs="Tahoma" w:ascii="Corbel" w:hAnsi="Corbel"/>
                <w:color w:val="auto"/>
                <w:szCs w:val="24"/>
                <w:lang w:val="en-GB"/>
              </w:rPr>
              <w:t>Adult content’ – real and mystified category of ‘adult matter/content’</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w:t>
            </w:r>
            <w:r>
              <w:rPr>
                <w:rFonts w:cs="Tahoma" w:ascii="Corbel" w:hAnsi="Corbel"/>
                <w:color w:val="auto"/>
                <w:szCs w:val="24"/>
                <w:lang w:val="en-GB"/>
              </w:rPr>
              <w:t>Not a trolley dillema’ complexity of ethical issues in the interactive culture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Ability, agency and ethical scenography</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pPr>
            <w:r>
              <w:rPr>
                <w:rFonts w:cs="Tahoma" w:ascii="Corbel" w:hAnsi="Corbel"/>
                <w:color w:val="auto"/>
                <w:szCs w:val="24"/>
                <w:lang w:val="en-GB"/>
              </w:rPr>
              <w:t>Mechanics of ‘game ethics’ and mechanics as ethics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i/>
                <w:iCs/>
                <w:color w:val="auto"/>
                <w:sz w:val="24"/>
                <w:szCs w:val="24"/>
                <w:lang w:val="en-GB"/>
              </w:rPr>
              <w:t>Emergent fields and activities of ‘gaming’</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Participation and transformation, paedagogy of a game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 xml:space="preserve">Case studies:  </w:t>
            </w:r>
            <w:r>
              <w:rPr>
                <w:rFonts w:cs="Tahoma" w:ascii="Corbel" w:hAnsi="Corbel"/>
                <w:i/>
                <w:iCs/>
                <w:color w:val="auto"/>
                <w:sz w:val="24"/>
                <w:szCs w:val="24"/>
                <w:lang w:val="en-GB"/>
              </w:rPr>
              <w:t>That dragon cancer</w:t>
            </w:r>
            <w:r>
              <w:rPr>
                <w:rFonts w:cs="Tahoma" w:ascii="Corbel" w:hAnsi="Corbel"/>
                <w:i w:val="false"/>
                <w:iCs w:val="false"/>
                <w:color w:val="auto"/>
                <w:sz w:val="24"/>
                <w:szCs w:val="24"/>
                <w:lang w:val="en-GB"/>
              </w:rPr>
              <w:t xml:space="preserve">, </w:t>
            </w:r>
            <w:r>
              <w:rPr>
                <w:rFonts w:cs="Tahoma" w:ascii="Corbel" w:hAnsi="Corbel"/>
                <w:i/>
                <w:iCs/>
                <w:color w:val="auto"/>
                <w:sz w:val="24"/>
                <w:szCs w:val="24"/>
                <w:lang w:val="en-GB"/>
              </w:rPr>
              <w:t>Depression Quest</w:t>
            </w:r>
            <w:r>
              <w:rPr>
                <w:rFonts w:cs="Tahoma" w:ascii="Corbel" w:hAnsi="Corbel"/>
                <w:i w:val="false"/>
                <w:iCs w:val="false"/>
                <w:color w:val="auto"/>
                <w:sz w:val="24"/>
                <w:szCs w:val="24"/>
                <w:lang w:val="en-GB"/>
              </w:rPr>
              <w:t xml:space="preserve">, </w:t>
            </w:r>
            <w:r>
              <w:rPr>
                <w:rFonts w:cs="Tahoma" w:ascii="Corbel" w:hAnsi="Corbel"/>
                <w:i/>
                <w:iCs/>
                <w:color w:val="auto"/>
                <w:sz w:val="24"/>
                <w:szCs w:val="24"/>
                <w:lang w:val="en-GB"/>
              </w:rPr>
              <w:t>Firewatch, Dreamfall (series), Journey to the moon, This war of mine</w:t>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lang w:val="en-GB"/>
              </w:rPr>
            </w:pPr>
            <w:r>
              <w:rPr>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bl>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w:t>
      </w:r>
      <w:r>
        <w:rPr>
          <w:rFonts w:cs="Tahoma" w:ascii="Corbel" w:hAnsi="Corbel"/>
          <w:b/>
          <w:bCs/>
          <w:i/>
          <w:caps w:val="false"/>
          <w:smallCaps w:val="false"/>
          <w:color w:val="auto"/>
          <w:sz w:val="20"/>
          <w:szCs w:val="20"/>
          <w:lang w:val="en-GB"/>
        </w:rPr>
        <w:t>project work</w:t>
      </w:r>
      <w:r>
        <w:rPr>
          <w:rFonts w:cs="Tahoma" w:ascii="Corbel" w:hAnsi="Corbel"/>
          <w:b w:val="false"/>
          <w:i/>
          <w:caps w:val="false"/>
          <w:smallCaps w:val="false"/>
          <w:color w:val="auto"/>
          <w:sz w:val="20"/>
          <w:szCs w:val="20"/>
          <w:lang w:val="en-GB"/>
        </w:rPr>
        <w:t xml:space="preserve"> (research project, implementation project, practical project)/ </w:t>
      </w:r>
      <w:r>
        <w:rPr>
          <w:rFonts w:cs="Tahoma" w:ascii="Corbel" w:hAnsi="Corbel"/>
          <w:b/>
          <w:bCs/>
          <w:i/>
          <w:caps w:val="false"/>
          <w:smallCaps w:val="false"/>
          <w:color w:val="auto"/>
          <w:sz w:val="20"/>
          <w:szCs w:val="20"/>
          <w:lang w:val="en-GB"/>
        </w:rPr>
        <w:t xml:space="preserve">group work </w:t>
      </w:r>
      <w:r>
        <w:rPr>
          <w:rFonts w:cs="Tahoma" w:ascii="Corbel" w:hAnsi="Corbel"/>
          <w:b w:val="false"/>
          <w:i/>
          <w:caps w:val="false"/>
          <w:smallCaps w:val="false"/>
          <w:color w:val="auto"/>
          <w:sz w:val="20"/>
          <w:szCs w:val="20"/>
          <w:lang w:val="en-GB"/>
        </w:rPr>
        <w:t>(problem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b w:val="false"/>
          <w:i/>
          <w:caps w:val="false"/>
          <w:smallCaps w:val="false"/>
          <w:color w:val="auto"/>
          <w:szCs w:val="24"/>
          <w:lang w:val="en-GB"/>
        </w:rPr>
        <w:t xml:space="preserve">a problem-solving lecture, lecture with active participation </w:t>
      </w:r>
      <w:r>
        <w:rPr>
          <w:rFonts w:cs="Tahoma" w:ascii="Corbel" w:hAnsi="Corbel"/>
          <w:b w:val="false"/>
          <w:i/>
          <w:caps w:val="false"/>
          <w:smallCaps w:val="false"/>
          <w:color w:val="auto"/>
          <w:szCs w:val="24"/>
          <w:lang w:val="en-GB"/>
        </w:rPr>
        <w:t>(workshop style)</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xml:space="preserve">- </w:t>
      </w:r>
      <w:r>
        <w:rPr>
          <w:rFonts w:cs="Tahoma" w:ascii="Corbel" w:hAnsi="Corbel"/>
          <w:b w:val="false"/>
          <w:bCs w:val="false"/>
          <w:caps w:val="false"/>
          <w:smallCaps w:val="false"/>
          <w:color w:val="auto"/>
          <w:szCs w:val="24"/>
          <w:lang w:val="en-GB"/>
        </w:rPr>
        <w:t>individual</w:t>
      </w:r>
      <w:r>
        <w:rPr>
          <w:rFonts w:cs="Tahoma" w:ascii="Corbel" w:hAnsi="Corbel"/>
          <w:b w:val="false"/>
          <w:bCs w:val="false"/>
          <w:caps w:val="false"/>
          <w:smallCaps w:val="false"/>
          <w:color w:val="auto"/>
          <w:szCs w:val="24"/>
          <w:lang w:val="en-GB"/>
        </w:rPr>
        <w:t xml:space="preserve"> and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widowControl w:val="fals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color w:val="auto"/>
                <w:szCs w:val="24"/>
                <w:lang w:val="en-GB" w:eastAsia="pl-PL"/>
              </w:rPr>
              <w:t>LO-01-04</w:t>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b w:val="false"/>
                <w:i/>
                <w:sz w:val="22"/>
                <w:lang w:val="en-GB"/>
              </w:rPr>
              <w:t>Continuous assessment:</w:t>
              <w:br/>
              <w:t>Active participation, Homework, engagement, reflection, final work</w:t>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val="en-GB" w:eastAsia="pl-PL"/>
              </w:rPr>
            </w:pPr>
            <w:r>
              <w:rPr>
                <w:rFonts w:ascii="Corbel" w:hAnsi="Corbel"/>
                <w:b w:val="false"/>
                <w:color w:val="auto"/>
                <w:szCs w:val="20"/>
                <w:lang w:val="en-GB" w:eastAsia="pl-PL"/>
              </w:rPr>
              <w:t>Lectures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Layout w:type="fixed"/>
        <w:tblCellMar>
          <w:top w:w="0" w:type="dxa"/>
          <w:left w:w="98" w:type="dxa"/>
          <w:bottom w:w="0" w:type="dxa"/>
          <w:right w:w="108" w:type="dxa"/>
        </w:tblCellMar>
        <w:tblLook w:val="04a0" w:noHBand="0" w:noVBand="1" w:firstColumn="1" w:lastRow="0" w:lastColumn="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80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w:t>
            </w:r>
            <w:r>
              <w:rPr>
                <w:rFonts w:cs="Tahoma" w:ascii="Corbel" w:hAnsi="Corbel"/>
                <w:b w:val="false"/>
                <w:caps w:val="false"/>
                <w:smallCaps w:val="false"/>
                <w:color w:val="auto"/>
                <w:szCs w:val="20"/>
                <w:lang w:val="en-GB" w:eastAsia="pl-PL"/>
              </w:rPr>
              <w:t>25</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3</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clear" w:pos="708"/>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before="0" w:after="0"/>
              <w:rPr>
                <w:rFonts w:ascii="Corbel" w:hAnsi="Corbel"/>
                <w:b w:val="false"/>
                <w:b w:val="false"/>
                <w:caps w:val="false"/>
                <w:smallCaps w:val="false"/>
                <w:color w:val="000000"/>
                <w:szCs w:val="24"/>
              </w:rPr>
            </w:pPr>
            <w:r>
              <w:rPr>
                <w:rFonts w:ascii="Corbel" w:hAnsi="Corbel"/>
                <w:b w:val="false"/>
                <w:i w:val="false"/>
                <w:iCs w:val="false"/>
                <w:caps w:val="false"/>
                <w:smallCaps w:val="false"/>
                <w:color w:val="000000"/>
                <w:szCs w:val="24"/>
              </w:rPr>
              <w:t>Archer A. (2021) Fans, Crimes and Misdemeanors: Fandom and the Ethics of Love</w:t>
            </w:r>
          </w:p>
          <w:p>
            <w:pPr>
              <w:pStyle w:val="Punktygwne"/>
              <w:widowControl w:val="false"/>
              <w:spacing w:before="0" w:after="0"/>
              <w:rPr>
                <w:rFonts w:ascii="Corbel" w:hAnsi="Corbel"/>
                <w:b w:val="false"/>
                <w:b w:val="false"/>
                <w:caps w:val="false"/>
                <w:smallCaps w:val="false"/>
                <w:color w:val="000000"/>
                <w:szCs w:val="24"/>
              </w:rPr>
            </w:pPr>
            <w:r>
              <w:rPr>
                <w:rFonts w:ascii="Corbel" w:hAnsi="Corbel"/>
                <w:b w:val="false"/>
                <w:i w:val="false"/>
                <w:iCs w:val="false"/>
                <w:caps w:val="false"/>
                <w:smallCaps w:val="false"/>
                <w:color w:val="000000"/>
                <w:szCs w:val="24"/>
              </w:rPr>
              <w:t>Cenkovic G.D, Larsson T. (2005) Game Ethics - Homo Ludens as a Computer Game Designer and Consumer</w:t>
            </w:r>
          </w:p>
          <w:p>
            <w:pPr>
              <w:pStyle w:val="Punktygwne"/>
              <w:widowControl w:val="false"/>
              <w:spacing w:before="0" w:after="0"/>
              <w:rPr>
                <w:rFonts w:ascii="Corbel" w:hAnsi="Corbel"/>
                <w:b w:val="false"/>
                <w:b w:val="false"/>
                <w:caps w:val="false"/>
                <w:smallCaps w:val="false"/>
                <w:color w:val="000000"/>
                <w:szCs w:val="24"/>
              </w:rPr>
            </w:pPr>
            <w:r>
              <w:rPr>
                <w:rFonts w:ascii="Corbel" w:hAnsi="Corbel"/>
                <w:b w:val="false"/>
                <w:i w:val="false"/>
                <w:iCs w:val="false"/>
                <w:caps w:val="false"/>
                <w:smallCaps w:val="false"/>
                <w:color w:val="000000"/>
                <w:szCs w:val="24"/>
              </w:rPr>
              <w:t>Ducheneaut N., Yee N., Nickell E, Moore R. (2006) Alone Together? Exploring the Social Dynamics of Massively Multiplayer Online Games</w:t>
            </w:r>
          </w:p>
          <w:p>
            <w:pPr>
              <w:pStyle w:val="Punktygwne"/>
              <w:widowControl w:val="false"/>
              <w:spacing w:before="0" w:after="0"/>
              <w:rPr>
                <w:rFonts w:ascii="Corbel" w:hAnsi="Corbel"/>
                <w:b w:val="false"/>
                <w:b w:val="false"/>
                <w:caps w:val="false"/>
                <w:smallCaps w:val="false"/>
                <w:color w:val="000000"/>
                <w:szCs w:val="24"/>
              </w:rPr>
            </w:pPr>
            <w:r>
              <w:rPr>
                <w:rStyle w:val="InternetLink"/>
                <w:rFonts w:cs="Tahoma" w:ascii="Corbel" w:hAnsi="Corbel"/>
                <w:b w:val="false"/>
                <w:i w:val="false"/>
                <w:iCs w:val="false"/>
                <w:caps w:val="false"/>
                <w:smallCaps w:val="false"/>
                <w:color w:val="000000"/>
                <w:sz w:val="20"/>
                <w:szCs w:val="24"/>
                <w:lang w:val="en-GB" w:eastAsia="pl-PL"/>
              </w:rPr>
              <w:t>Earp J., Persico D., Dagnino F., Passarelli M. (2018) Ethical Issues in Gaming: A Literature Review</w:t>
            </w:r>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widowControl w:val="false"/>
              <w:spacing w:before="0" w:after="0"/>
              <w:rPr>
                <w:sz w:val="20"/>
                <w:szCs w:val="20"/>
              </w:rPr>
            </w:pPr>
            <w:r>
              <w:rPr>
                <w:rFonts w:cs="Tahoma" w:ascii="Corbel" w:hAnsi="Corbel"/>
                <w:b w:val="false"/>
                <w:caps w:val="false"/>
                <w:smallCaps w:val="false"/>
                <w:color w:val="auto"/>
                <w:sz w:val="20"/>
                <w:szCs w:val="20"/>
                <w:lang w:val="en-GB" w:eastAsia="pl-PL"/>
              </w:rPr>
              <w:t>(&amp; additional materials online)</w:t>
            </w:r>
          </w:p>
          <w:p>
            <w:pPr>
              <w:pStyle w:val="Punktygwne"/>
              <w:widowControl w:val="false"/>
              <w:spacing w:before="0" w:after="120"/>
              <w:rPr>
                <w:rFonts w:ascii="Corbel" w:hAnsi="Corbel"/>
                <w:b w:val="false"/>
                <w:b w:val="false"/>
                <w:sz w:val="20"/>
                <w:szCs w:val="20"/>
              </w:rPr>
            </w:pPr>
            <w:r>
              <w:rPr>
                <w:rFonts w:ascii="Corbel" w:hAnsi="Corbel"/>
                <w:b w:val="false"/>
                <w:sz w:val="20"/>
                <w:szCs w:val="20"/>
              </w:rPr>
            </w:r>
          </w:p>
          <w:p>
            <w:pPr>
              <w:pStyle w:val="Punktygwne"/>
              <w:widowControl w:val="false"/>
              <w:spacing w:before="0" w:after="120"/>
              <w:rPr>
                <w:rFonts w:ascii="Corbel" w:hAnsi="Corbel"/>
                <w:b w:val="false"/>
                <w:b w:val="false"/>
                <w:szCs w:val="24"/>
              </w:rPr>
            </w:pPr>
            <w:r>
              <w:rPr>
                <w:rFonts w:ascii="Corbel" w:hAnsi="Corbel"/>
                <w:b w:val="false"/>
                <w:szCs w:val="24"/>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 xml:space="preserve">Complementary literature: </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(2014) Journal Special Issue: Transformative Works and Cultures: Fandom and/as labor</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Archer A., Wojtowicz J. (2022) It’s much more important than that: against fictionalist accounts of fandom</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Deller R. (2018) Ethics in Fan Studies (chapter)</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Dwyer T. (bdw) Audiovisual Translation and Fandom</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 xml:space="preserve">Gotterbarn D (2010) The ethics of video games: Mayhem, death, and the training of the next generation </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Gotterbarn D., Moor J., (2009) Virtual decisions: video game ethics, Just Consequentialism, and ethics on the fly</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Hawkins G. (2001) The Ethics of Television</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Kade D. (2016) Ethics of Virtual Reality Applications in Computer Game Production</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Lucas C.M., (2018) "This Isn't for You, This Is for Me": Women in Cosplay and Their Experiences Combatting Harassment and Stigma</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Melzer A., Holl E. (2020) Players’ Moral Decisions in Virtual Worlds: Morality in Video Games</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Murphy J., Zagal J. (2011) Videogames and the Ethics of Care</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Radchenko S (2020) Metamodern Gaming: Literary Analysis of The Last of Us</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Small R., (bdw) Racism and Race in Cosplay</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Stroud, S.R. (bdw) When Actors Become Characters: The Ethics of Digital Real-Person Fan Fiction</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Tavinor G. (2007) Towards an ethics of video gaming</w:t>
            </w:r>
          </w:p>
          <w:p>
            <w:pPr>
              <w:pStyle w:val="Punktygwne"/>
              <w:widowControl w:val="false"/>
              <w:spacing w:before="0" w:after="0"/>
              <w:rPr>
                <w:i w:val="false"/>
                <w:i w:val="false"/>
                <w:iCs w:val="false"/>
              </w:rPr>
            </w:pPr>
            <w:r>
              <w:rPr>
                <w:rFonts w:ascii="Corbel" w:hAnsi="Corbel"/>
                <w:b w:val="false"/>
                <w:i w:val="false"/>
                <w:iCs w:val="false"/>
                <w:caps w:val="false"/>
                <w:smallCaps w:val="false"/>
                <w:color w:val="000000"/>
                <w:szCs w:val="24"/>
              </w:rPr>
              <w:t>Verhoeven M., (2019) Societal Relevance as Success Factor of TV Series: The Creators' Perception</w:t>
            </w:r>
          </w:p>
          <w:p>
            <w:pPr>
              <w:pStyle w:val="Punktygwne"/>
              <w:widowControl w:val="false"/>
              <w:spacing w:lineRule="auto" w:line="240" w:before="0" w:after="0"/>
              <w:rPr>
                <w:i w:val="false"/>
                <w:i w:val="false"/>
                <w:iCs w:val="false"/>
              </w:rPr>
            </w:pPr>
            <w:r>
              <w:rPr>
                <w:rFonts w:cs="Tahoma" w:ascii="Corbel" w:hAnsi="Corbel"/>
                <w:b w:val="false"/>
                <w:i w:val="false"/>
                <w:iCs w:val="false"/>
                <w:caps w:val="false"/>
                <w:smallCaps w:val="false"/>
                <w:color w:val="000000"/>
                <w:szCs w:val="24"/>
                <w:lang w:eastAsia="pl-PL"/>
              </w:rPr>
              <w:t>Zagal J.P (2009) Ethically Notable Videogames: Moral Dilemmas and Gameplay</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rStyle w:val="InternetLink"/>
                <w:rFonts w:ascii="Corbel" w:hAnsi="Corbel" w:cs="Tahoma"/>
                <w:b w:val="false"/>
                <w:b w:val="false"/>
                <w:caps w:val="false"/>
                <w:smallCaps w:val="false"/>
                <w:color w:val="auto"/>
                <w:sz w:val="20"/>
                <w:szCs w:val="20"/>
                <w:lang w:val="en-GB" w:eastAsia="pl-PL"/>
              </w:rPr>
            </w:pPr>
            <w:r>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2"/>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orbe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fldChar w:fldCharType="begin"/>
    </w:r>
    <w:r>
      <w:rPr/>
      <w:instrText xml:space="preserve">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uiPriority w:val="99"/>
    <w:semiHidden/>
    <w:qFormat/>
    <w:rsid w:val="00783ea7"/>
    <w:rPr>
      <w:rFonts w:eastAsia="Calibri"/>
      <w:sz w:val="20"/>
      <w:szCs w:val="20"/>
    </w:rPr>
  </w:style>
  <w:style w:type="character" w:styleId="PredmetkomentraChar" w:customStyle="1">
    <w:name w:val="Predmet komentára Char"/>
    <w:basedOn w:val="TextkomentraChar"/>
    <w:uiPriority w:val="99"/>
    <w:semiHidden/>
    <w:qFormat/>
    <w:rsid w:val="00783ea7"/>
    <w:rPr>
      <w:rFonts w:eastAsia="Calibri"/>
      <w:b/>
      <w:bCs/>
      <w:sz w:val="20"/>
      <w:szCs w:val="20"/>
    </w:rPr>
  </w:style>
  <w:style w:type="character" w:styleId="TextbublinyChar" w:customStyle="1">
    <w:name w:val="Text bubliny Char"/>
    <w:basedOn w:val="DefaultParagraphFont"/>
    <w:uiPriority w:val="99"/>
    <w:semiHidden/>
    <w:qFormat/>
    <w:rsid w:val="00783ea7"/>
    <w:rPr>
      <w:rFonts w:ascii="Tahoma" w:hAnsi="Tahoma" w:eastAsia="Calibri" w:cs="Tahoma"/>
      <w:sz w:val="16"/>
      <w:szCs w:val="16"/>
    </w:rPr>
  </w:style>
  <w:style w:type="character" w:styleId="Emphasis">
    <w:name w:val="Emphasis"/>
    <w:basedOn w:val="DefaultParagraphFont"/>
    <w:uiPriority w:val="20"/>
    <w:qFormat/>
    <w:rsid w:val="008123d5"/>
    <w:rPr>
      <w:i/>
      <w:iCs/>
    </w:rPr>
  </w:style>
  <w:style w:type="character" w:styleId="InternetLink">
    <w:name w:val="Hyperlink"/>
    <w:basedOn w:val="DefaultParagraphFont"/>
    <w:uiPriority w:val="99"/>
    <w:unhideWhenUsed/>
    <w:rsid w:val="006a69b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lear" w:pos="708"/>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clear" w:pos="708"/>
        <w:tab w:val="left" w:pos="-5643" w:leader="none"/>
      </w:tabs>
      <w:overflowPunct w:val="fals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clear" w:pos="708"/>
        <w:tab w:val="left" w:pos="-5814" w:leader="none"/>
      </w:tabs>
      <w:overflowPunct w:val="fals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clear" w:pos="708"/>
        <w:tab w:val="left" w:pos="-5814" w:leader="none"/>
        <w:tab w:val="left" w:pos="720" w:leader="none"/>
      </w:tabs>
      <w:overflowPunct w:val="fals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clear" w:pos="708"/>
        <w:tab w:val="left" w:pos="-5814" w:leader="none"/>
      </w:tabs>
      <w:overflowPunct w:val="fals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LibreOffice/7.3.7.2$Linux_X86_64 LibreOffice_project/30$Build-2</Application>
  <AppVersion>15.0000</AppVersion>
  <Pages>6</Pages>
  <Words>1113</Words>
  <Characters>6596</Characters>
  <CharactersWithSpaces>7709</CharactersWithSpaces>
  <Paragraphs>168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
  <cp:lastPrinted>2017-07-04T06:31:00Z</cp:lastPrinted>
  <dcterms:modified xsi:type="dcterms:W3CDTF">2026-02-21T19:25:31Z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