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77777777"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roofErr w:type="gramStart"/>
      <w:r w:rsidRPr="004F2031">
        <w:rPr>
          <w:rFonts w:ascii="Corbel" w:hAnsi="Corbel" w:cs="Tahoma"/>
          <w:b/>
          <w:bCs/>
          <w:smallCaps/>
          <w:color w:val="auto"/>
          <w:szCs w:val="24"/>
          <w:lang w:val="en-GB"/>
        </w:rPr>
        <w:t>…..</w:t>
      </w:r>
      <w:proofErr w:type="gramEnd"/>
    </w:p>
    <w:p w14:paraId="6D07B161" w14:textId="77777777"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w:t>
      </w:r>
      <w:proofErr w:type="gramStart"/>
      <w:r>
        <w:rPr>
          <w:rFonts w:ascii="Corbel" w:hAnsi="Corbel" w:cs="Tahoma"/>
          <w:b/>
          <w:bCs/>
          <w:smallCaps/>
          <w:color w:val="auto"/>
          <w:szCs w:val="24"/>
          <w:lang w:val="en-GB"/>
        </w:rPr>
        <w:t>…..</w:t>
      </w:r>
      <w:proofErr w:type="gramEnd"/>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484C19" w:rsidRPr="00366320" w14:paraId="204D687A" w14:textId="77777777" w:rsidTr="00484C19">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484C19" w:rsidRPr="004F2031" w:rsidRDefault="00484C19" w:rsidP="00484C1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4" w:type="dxa"/>
            <w:tcMar>
              <w:left w:w="103" w:type="dxa"/>
            </w:tcMar>
            <w:vAlign w:val="center"/>
          </w:tcPr>
          <w:p w14:paraId="53EF599B" w14:textId="456E097B" w:rsidR="00484C19" w:rsidRPr="00366320" w:rsidRDefault="00366320" w:rsidP="00484C19">
            <w:pPr>
              <w:pStyle w:val="Odpowiedzi"/>
              <w:rPr>
                <w:rFonts w:ascii="Corbel" w:hAnsi="Corbel" w:cs="Tahoma"/>
                <w:b w:val="0"/>
                <w:i/>
                <w:color w:val="auto"/>
                <w:sz w:val="24"/>
                <w:szCs w:val="24"/>
                <w:lang w:val="en-GB"/>
              </w:rPr>
            </w:pPr>
            <w:r w:rsidRPr="00366320">
              <w:rPr>
                <w:rFonts w:ascii="Corbel" w:hAnsi="Corbel"/>
                <w:b w:val="0"/>
                <w:sz w:val="24"/>
                <w:szCs w:val="24"/>
                <w:lang w:val="en-GB"/>
              </w:rPr>
              <w:t>Artificial intelligence in evidence-based nursing</w:t>
            </w:r>
          </w:p>
        </w:tc>
      </w:tr>
      <w:tr w:rsidR="00484C19" w:rsidRPr="001C26A0" w14:paraId="46792784" w14:textId="77777777" w:rsidTr="00484C19">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484C19" w:rsidRPr="004F2031" w:rsidRDefault="00484C19" w:rsidP="00484C1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359B202A" w:rsidR="00484C19" w:rsidRPr="004F2031" w:rsidRDefault="00484C19" w:rsidP="00484C19">
            <w:pPr>
              <w:pStyle w:val="Odpowiedzi"/>
              <w:rPr>
                <w:rFonts w:ascii="Corbel" w:hAnsi="Corbel" w:cs="Tahoma"/>
                <w:b w:val="0"/>
                <w:i/>
                <w:color w:val="auto"/>
                <w:sz w:val="24"/>
                <w:szCs w:val="24"/>
                <w:lang w:val="en-GB"/>
              </w:rPr>
            </w:pPr>
            <w:r w:rsidRPr="008A40F7">
              <w:rPr>
                <w:rFonts w:ascii="Corbel" w:hAnsi="Corbel"/>
                <w:b w:val="0"/>
                <w:sz w:val="24"/>
                <w:szCs w:val="24"/>
              </w:rPr>
              <w:t>ZPP –</w:t>
            </w:r>
            <w:proofErr w:type="spellStart"/>
            <w:r w:rsidRPr="008A40F7">
              <w:rPr>
                <w:rFonts w:ascii="Corbel" w:hAnsi="Corbel"/>
                <w:b w:val="0"/>
                <w:sz w:val="24"/>
                <w:szCs w:val="24"/>
              </w:rPr>
              <w:t>SzI</w:t>
            </w:r>
            <w:proofErr w:type="spellEnd"/>
          </w:p>
        </w:tc>
      </w:tr>
      <w:tr w:rsidR="00484C19" w:rsidRPr="00366320" w14:paraId="4DD46B91" w14:textId="77777777" w:rsidTr="00484C19">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484C19" w:rsidRPr="004F2031" w:rsidRDefault="00484C19" w:rsidP="00484C19">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08EAF741" w:rsidR="00484C19" w:rsidRPr="00366320" w:rsidRDefault="00366320" w:rsidP="00484C19">
            <w:pPr>
              <w:pStyle w:val="Odpowiedzi"/>
              <w:rPr>
                <w:rFonts w:ascii="Corbel" w:hAnsi="Corbel" w:cs="Tahoma"/>
                <w:b w:val="0"/>
                <w:i/>
                <w:color w:val="auto"/>
                <w:sz w:val="24"/>
                <w:szCs w:val="24"/>
                <w:lang w:val="en-GB"/>
              </w:rPr>
            </w:pPr>
            <w:r w:rsidRPr="00366320">
              <w:rPr>
                <w:rFonts w:ascii="Corbel" w:hAnsi="Corbel"/>
                <w:b w:val="0"/>
                <w:sz w:val="24"/>
                <w:szCs w:val="24"/>
                <w:lang w:val="en-GB"/>
              </w:rPr>
              <w:t>Faculty of Health Sciences and Psychology</w:t>
            </w:r>
          </w:p>
        </w:tc>
      </w:tr>
      <w:tr w:rsidR="00484C19" w:rsidRPr="00484C19" w14:paraId="7EC10BF3" w14:textId="77777777" w:rsidTr="00484C19">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484C19" w:rsidRPr="004F2031" w:rsidRDefault="00484C19" w:rsidP="00484C1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1B5F0589" w:rsidR="00484C19" w:rsidRPr="004F2031" w:rsidRDefault="00366320" w:rsidP="00484C19">
            <w:pPr>
              <w:pStyle w:val="Odpowiedzi"/>
              <w:rPr>
                <w:rFonts w:ascii="Corbel" w:hAnsi="Corbel" w:cs="Tahoma"/>
                <w:b w:val="0"/>
                <w:i/>
                <w:color w:val="auto"/>
                <w:sz w:val="24"/>
                <w:szCs w:val="24"/>
                <w:lang w:val="en-GB"/>
              </w:rPr>
            </w:pPr>
            <w:proofErr w:type="spellStart"/>
            <w:r>
              <w:rPr>
                <w:rFonts w:ascii="Corbel" w:hAnsi="Corbel"/>
                <w:b w:val="0"/>
                <w:sz w:val="24"/>
                <w:szCs w:val="24"/>
              </w:rPr>
              <w:t>Institute</w:t>
            </w:r>
            <w:proofErr w:type="spellEnd"/>
            <w:r>
              <w:rPr>
                <w:rFonts w:ascii="Corbel" w:hAnsi="Corbel"/>
                <w:b w:val="0"/>
                <w:sz w:val="24"/>
                <w:szCs w:val="24"/>
              </w:rPr>
              <w:t xml:space="preserve"> of </w:t>
            </w:r>
            <w:proofErr w:type="spellStart"/>
            <w:r>
              <w:rPr>
                <w:rFonts w:ascii="Corbel" w:hAnsi="Corbel"/>
                <w:b w:val="0"/>
                <w:sz w:val="24"/>
                <w:szCs w:val="24"/>
              </w:rPr>
              <w:t>Nursing</w:t>
            </w:r>
            <w:proofErr w:type="spellEnd"/>
          </w:p>
        </w:tc>
      </w:tr>
      <w:tr w:rsidR="00484C19" w:rsidRPr="004F2031" w14:paraId="7D3DCA94" w14:textId="77777777" w:rsidTr="00484C19">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484C19" w:rsidRPr="004F2031" w:rsidRDefault="00484C19" w:rsidP="00484C1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481424AC" w:rsidR="00484C19" w:rsidRPr="004F2031" w:rsidRDefault="00366320" w:rsidP="00484C19">
            <w:pPr>
              <w:pStyle w:val="Odpowiedzi"/>
              <w:rPr>
                <w:rFonts w:ascii="Corbel" w:hAnsi="Corbel" w:cs="Tahoma"/>
                <w:b w:val="0"/>
                <w:color w:val="auto"/>
                <w:sz w:val="24"/>
                <w:szCs w:val="24"/>
                <w:lang w:val="en-GB"/>
              </w:rPr>
            </w:pPr>
            <w:r>
              <w:rPr>
                <w:rFonts w:ascii="Corbel" w:hAnsi="Corbel" w:cs="Tahoma"/>
                <w:b w:val="0"/>
                <w:sz w:val="24"/>
                <w:szCs w:val="24"/>
                <w:lang w:val="en-GB"/>
              </w:rPr>
              <w:t>Nursing</w:t>
            </w:r>
          </w:p>
        </w:tc>
      </w:tr>
      <w:tr w:rsidR="00484C19" w:rsidRPr="004F2031" w14:paraId="61CD131E" w14:textId="77777777" w:rsidTr="00484C19">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484C19" w:rsidRPr="004F2031" w:rsidRDefault="00484C19" w:rsidP="00484C1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34CDF81B" w:rsidR="00484C19" w:rsidRPr="004F2031" w:rsidRDefault="00484C19" w:rsidP="00484C19">
            <w:pPr>
              <w:pStyle w:val="Odpowiedzi"/>
              <w:rPr>
                <w:rFonts w:ascii="Corbel" w:hAnsi="Corbel" w:cs="Tahoma"/>
                <w:b w:val="0"/>
                <w:color w:val="auto"/>
                <w:sz w:val="24"/>
                <w:szCs w:val="24"/>
                <w:lang w:val="en-GB"/>
              </w:rPr>
            </w:pPr>
            <w:proofErr w:type="spellStart"/>
            <w:r>
              <w:rPr>
                <w:rFonts w:ascii="Corbel" w:hAnsi="Corbel" w:cs="Tahoma"/>
                <w:b w:val="0"/>
                <w:color w:val="auto"/>
                <w:sz w:val="24"/>
                <w:szCs w:val="24"/>
                <w:lang w:val="en-GB"/>
              </w:rPr>
              <w:t>Bechelor</w:t>
            </w:r>
            <w:proofErr w:type="spellEnd"/>
          </w:p>
        </w:tc>
      </w:tr>
      <w:tr w:rsidR="00484C19" w:rsidRPr="004F2031" w14:paraId="3EA3A387" w14:textId="77777777" w:rsidTr="00484C19">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484C19" w:rsidRPr="004F2031" w:rsidRDefault="00484C19" w:rsidP="00484C1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3DEC3036" w:rsidR="00484C19" w:rsidRPr="004F2031" w:rsidRDefault="00366320" w:rsidP="00484C19">
            <w:pPr>
              <w:pStyle w:val="Odpowiedzi"/>
              <w:rPr>
                <w:rFonts w:ascii="Corbel" w:hAnsi="Corbel" w:cs="Tahoma"/>
                <w:b w:val="0"/>
                <w:i/>
                <w:color w:val="auto"/>
                <w:sz w:val="24"/>
                <w:szCs w:val="24"/>
                <w:lang w:val="en-GB"/>
              </w:rPr>
            </w:pPr>
            <w:r w:rsidRPr="00366320">
              <w:rPr>
                <w:rFonts w:ascii="Corbel" w:hAnsi="Corbel" w:cs="Tahoma"/>
                <w:b w:val="0"/>
                <w:i/>
                <w:color w:val="auto"/>
                <w:sz w:val="24"/>
                <w:szCs w:val="24"/>
                <w:lang w:val="en-GB"/>
              </w:rPr>
              <w:t>general academic</w:t>
            </w:r>
          </w:p>
        </w:tc>
      </w:tr>
      <w:tr w:rsidR="00484C19" w:rsidRPr="004F2031" w14:paraId="6F29D987" w14:textId="77777777" w:rsidTr="00484C19">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484C19" w:rsidRPr="004F2031" w:rsidRDefault="00484C19" w:rsidP="00484C1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146A1224" w:rsidR="00484C19" w:rsidRPr="004F2031" w:rsidRDefault="00484C19" w:rsidP="00484C19">
            <w:pPr>
              <w:pStyle w:val="Odpowiedzi"/>
              <w:rPr>
                <w:rFonts w:ascii="Corbel" w:hAnsi="Corbel" w:cs="Tahoma"/>
                <w:b w:val="0"/>
                <w:i/>
                <w:color w:val="auto"/>
                <w:sz w:val="24"/>
                <w:szCs w:val="24"/>
                <w:lang w:val="en-GB"/>
              </w:rPr>
            </w:pPr>
          </w:p>
        </w:tc>
      </w:tr>
      <w:tr w:rsidR="00484C19" w:rsidRPr="00484C19" w14:paraId="28362EF3" w14:textId="77777777" w:rsidTr="00484C19">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484C19" w:rsidRPr="004F2031" w:rsidRDefault="00484C19" w:rsidP="00484C1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17C3AF98" w:rsidR="00484C19" w:rsidRPr="004F2031" w:rsidRDefault="00484C19" w:rsidP="00484C19">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 xml:space="preserve">Winter </w:t>
            </w:r>
            <w:proofErr w:type="spellStart"/>
            <w:r>
              <w:rPr>
                <w:rFonts w:ascii="Corbel" w:hAnsi="Corbel" w:cs="Tahoma"/>
                <w:b w:val="0"/>
                <w:i/>
                <w:color w:val="auto"/>
                <w:sz w:val="24"/>
                <w:szCs w:val="24"/>
                <w:lang w:val="en-GB"/>
              </w:rPr>
              <w:t>semestr</w:t>
            </w:r>
            <w:proofErr w:type="spellEnd"/>
          </w:p>
        </w:tc>
      </w:tr>
      <w:tr w:rsidR="00484C19" w:rsidRPr="004F2031" w14:paraId="3560D7EE" w14:textId="77777777" w:rsidTr="00484C19">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484C19" w:rsidRPr="004F2031" w:rsidRDefault="00484C19" w:rsidP="00484C1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04FDFD0F" w:rsidR="00484C19" w:rsidRPr="00484C19" w:rsidRDefault="00484C19" w:rsidP="00484C19">
            <w:pPr>
              <w:pStyle w:val="Odpowiedzi"/>
              <w:rPr>
                <w:rFonts w:ascii="Corbel" w:hAnsi="Corbel" w:cs="Tahoma"/>
                <w:b w:val="0"/>
                <w:i/>
                <w:color w:val="auto"/>
                <w:sz w:val="24"/>
                <w:szCs w:val="24"/>
              </w:rPr>
            </w:pPr>
            <w:r w:rsidRPr="00484C19">
              <w:rPr>
                <w:rFonts w:ascii="Corbel" w:hAnsi="Corbel" w:cs="Tahoma"/>
                <w:b w:val="0"/>
                <w:i/>
                <w:color w:val="auto"/>
                <w:sz w:val="24"/>
                <w:szCs w:val="24"/>
              </w:rPr>
              <w:t>Przedmioty dodatkowe w ramach godzin do dyspozycji uczelni</w:t>
            </w:r>
          </w:p>
        </w:tc>
      </w:tr>
      <w:tr w:rsidR="00484C19" w:rsidRPr="004F2031" w14:paraId="6E442DC5" w14:textId="77777777" w:rsidTr="00484C19">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484C19" w:rsidRPr="004F2031" w:rsidRDefault="00484C19" w:rsidP="00484C1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571F1750" w:rsidR="00484C19" w:rsidRPr="004F2031" w:rsidRDefault="00484C19" w:rsidP="00484C19">
            <w:pPr>
              <w:pStyle w:val="Odpowiedzi"/>
              <w:rPr>
                <w:rFonts w:ascii="Corbel" w:hAnsi="Corbel" w:cs="Tahoma"/>
                <w:b w:val="0"/>
                <w:color w:val="auto"/>
                <w:sz w:val="24"/>
                <w:szCs w:val="24"/>
                <w:lang w:val="en-GB"/>
              </w:rPr>
            </w:pPr>
            <w:proofErr w:type="spellStart"/>
            <w:r>
              <w:rPr>
                <w:rFonts w:ascii="Corbel" w:hAnsi="Corbel" w:cs="Tahoma"/>
                <w:b w:val="0"/>
                <w:color w:val="auto"/>
                <w:sz w:val="24"/>
                <w:szCs w:val="24"/>
                <w:lang w:val="en-GB"/>
              </w:rPr>
              <w:t>english</w:t>
            </w:r>
            <w:proofErr w:type="spellEnd"/>
          </w:p>
        </w:tc>
      </w:tr>
      <w:tr w:rsidR="00484C19" w:rsidRPr="004F2031" w14:paraId="02A55B6B" w14:textId="77777777" w:rsidTr="00484C19">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484C19" w:rsidRPr="004F2031" w:rsidRDefault="00484C19" w:rsidP="00484C1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26F376C5" w:rsidR="00484C19" w:rsidRPr="00484C19" w:rsidRDefault="00484C19" w:rsidP="00484C19">
            <w:pPr>
              <w:pStyle w:val="Odpowiedzi"/>
              <w:rPr>
                <w:rFonts w:ascii="Corbel" w:hAnsi="Corbel" w:cs="Tahoma"/>
                <w:b w:val="0"/>
                <w:color w:val="auto"/>
                <w:sz w:val="24"/>
                <w:szCs w:val="24"/>
              </w:rPr>
            </w:pPr>
            <w:r w:rsidRPr="00484C19">
              <w:rPr>
                <w:rFonts w:ascii="Corbel" w:hAnsi="Corbel" w:cs="Tahoma"/>
                <w:b w:val="0"/>
                <w:color w:val="auto"/>
                <w:sz w:val="24"/>
                <w:szCs w:val="24"/>
              </w:rPr>
              <w:t>Prof. dr hab. Paweł W</w:t>
            </w:r>
            <w:r>
              <w:rPr>
                <w:rFonts w:ascii="Corbel" w:hAnsi="Corbel" w:cs="Tahoma"/>
                <w:b w:val="0"/>
                <w:color w:val="auto"/>
                <w:sz w:val="24"/>
                <w:szCs w:val="24"/>
              </w:rPr>
              <w:t>ięch</w:t>
            </w:r>
          </w:p>
        </w:tc>
      </w:tr>
      <w:tr w:rsidR="00484C19" w:rsidRPr="004F2031" w14:paraId="73039DB7" w14:textId="77777777" w:rsidTr="00484C19">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484C19" w:rsidRPr="004F2031" w:rsidRDefault="00484C19" w:rsidP="00484C1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6E92A214" w:rsidR="00484C19" w:rsidRPr="00484C19" w:rsidRDefault="00484C19" w:rsidP="00484C19">
            <w:pPr>
              <w:pStyle w:val="Odpowiedzi"/>
              <w:rPr>
                <w:rFonts w:ascii="Corbel" w:hAnsi="Corbel" w:cs="Tahoma"/>
                <w:b w:val="0"/>
                <w:i/>
                <w:color w:val="auto"/>
                <w:sz w:val="24"/>
                <w:szCs w:val="24"/>
              </w:rPr>
            </w:pPr>
            <w:r w:rsidRPr="00484C19">
              <w:rPr>
                <w:rFonts w:ascii="Corbel" w:hAnsi="Corbel" w:cs="Tahoma"/>
                <w:b w:val="0"/>
                <w:color w:val="auto"/>
                <w:sz w:val="24"/>
                <w:szCs w:val="24"/>
              </w:rPr>
              <w:t>Prof. dr hab. Paweł W</w:t>
            </w:r>
            <w:r>
              <w:rPr>
                <w:rFonts w:ascii="Corbel" w:hAnsi="Corbel" w:cs="Tahoma"/>
                <w:b w:val="0"/>
                <w:color w:val="auto"/>
                <w:sz w:val="24"/>
                <w:szCs w:val="24"/>
              </w:rPr>
              <w:t>ięch</w:t>
            </w:r>
          </w:p>
        </w:tc>
      </w:tr>
    </w:tbl>
    <w:p w14:paraId="6CC67707" w14:textId="77777777" w:rsidR="00AA1FCD" w:rsidRPr="00484C19" w:rsidRDefault="00AA1FCD">
      <w:pPr>
        <w:pStyle w:val="Podpunkty"/>
        <w:ind w:left="0"/>
        <w:rPr>
          <w:rFonts w:ascii="Corbel" w:hAnsi="Corbel" w:cs="Tahoma"/>
          <w:color w:val="auto"/>
          <w:sz w:val="24"/>
          <w:szCs w:val="24"/>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7418F5C8" w:rsidR="00FA1C61" w:rsidRPr="004F2031" w:rsidRDefault="00484C1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4C254F6E" w:rsidR="00FA1C61" w:rsidRPr="004F2031" w:rsidRDefault="00484C1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7777777" w:rsidR="00FA1C61" w:rsidRPr="004F2031" w:rsidRDefault="00FA1C61">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77777777" w:rsidR="00FA1C61" w:rsidRPr="004F2031" w:rsidRDefault="00FA1C61">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5A6439C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4F2031"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1BFB9A46" w:rsidR="00FA1C61" w:rsidRPr="004F2031" w:rsidRDefault="00484C1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732D168" w14:textId="77777777" w:rsidR="00AA1FCD" w:rsidRPr="00484C19" w:rsidRDefault="002D7484">
      <w:pPr>
        <w:pStyle w:val="Punktygwne"/>
        <w:spacing w:before="0" w:after="0"/>
        <w:rPr>
          <w:rFonts w:ascii="Corbel" w:hAnsi="Corbel" w:cs="Tahoma"/>
          <w:bCs/>
          <w:smallCaps w:val="0"/>
          <w:color w:val="auto"/>
          <w:szCs w:val="24"/>
          <w:lang w:val="en-US"/>
        </w:rPr>
      </w:pPr>
      <w:r w:rsidRPr="00484C19">
        <w:rPr>
          <w:rFonts w:ascii="Corbel" w:hAnsi="Corbel" w:cs="Tahoma"/>
          <w:bCs/>
          <w:smallCaps w:val="0"/>
          <w:color w:val="auto"/>
          <w:szCs w:val="24"/>
          <w:lang w:val="en-US"/>
        </w:rPr>
        <w:t>- involving distance education</w:t>
      </w:r>
      <w:r w:rsidRPr="00484C19">
        <w:rPr>
          <w:rFonts w:ascii="Corbel" w:hAnsi="Corbel" w:cs="Tahoma"/>
          <w:bCs/>
          <w:smallCaps w:val="0"/>
          <w:color w:val="auto"/>
          <w:szCs w:val="24"/>
          <w:lang w:val="en-GB"/>
        </w:rPr>
        <w:t xml:space="preserve"> </w:t>
      </w:r>
      <w:r w:rsidRPr="00484C19">
        <w:rPr>
          <w:rFonts w:ascii="Corbel" w:hAnsi="Corbel" w:cs="Tahoma"/>
          <w:bCs/>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9ED0370" w14:textId="77777777" w:rsidR="00AA1FCD" w:rsidRPr="004F2031" w:rsidRDefault="00AA1FCD">
      <w:pPr>
        <w:pStyle w:val="Punktygwne"/>
        <w:spacing w:before="0" w:after="0"/>
        <w:rPr>
          <w:rFonts w:ascii="Corbel" w:hAnsi="Corbel" w:cs="Tahoma"/>
          <w:b w:val="0"/>
          <w:smallCaps w:val="0"/>
          <w:color w:val="auto"/>
          <w:szCs w:val="24"/>
          <w:lang w:val="en-GB"/>
        </w:rPr>
      </w:pP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66320"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52406" w14:textId="2AE821DC" w:rsidR="00AA1FCD" w:rsidRPr="00366320" w:rsidRDefault="00366320">
            <w:pPr>
              <w:pStyle w:val="Punktygwne"/>
              <w:spacing w:before="40" w:after="40"/>
              <w:rPr>
                <w:rFonts w:ascii="Corbel" w:hAnsi="Corbel" w:cs="Tahoma"/>
                <w:b w:val="0"/>
                <w:smallCaps w:val="0"/>
                <w:color w:val="auto"/>
                <w:szCs w:val="20"/>
                <w:lang w:val="en-GB" w:eastAsia="pl-PL"/>
              </w:rPr>
            </w:pPr>
            <w:r w:rsidRPr="00366320">
              <w:rPr>
                <w:rFonts w:ascii="Corbel" w:hAnsi="Corbel"/>
                <w:b w:val="0"/>
                <w:smallCaps w:val="0"/>
                <w:color w:val="000000"/>
                <w:szCs w:val="24"/>
                <w:lang w:val="en-GB"/>
              </w:rPr>
              <w:lastRenderedPageBreak/>
              <w:t>The scope of scientific research in the professional practice of a nurse</w:t>
            </w:r>
          </w:p>
        </w:tc>
      </w:tr>
    </w:tbl>
    <w:p w14:paraId="32D131F1" w14:textId="77777777" w:rsidR="00AA1FCD" w:rsidRPr="00366320" w:rsidRDefault="00AA1FCD">
      <w:pPr>
        <w:pStyle w:val="Punktygwne"/>
        <w:spacing w:before="0" w:after="0"/>
        <w:rPr>
          <w:rFonts w:ascii="Corbel" w:hAnsi="Corbel" w:cs="Tahoma"/>
          <w:b w:val="0"/>
          <w:color w:val="auto"/>
          <w:szCs w:val="24"/>
          <w:lang w:val="en-GB"/>
        </w:rPr>
      </w:pPr>
    </w:p>
    <w:p w14:paraId="1E75B602" w14:textId="77777777" w:rsidR="00AA1FCD" w:rsidRPr="00366320"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9"/>
        <w:gridCol w:w="8964"/>
      </w:tblGrid>
      <w:tr w:rsidR="00AA1FCD" w:rsidRPr="00366320" w14:paraId="3D48585B" w14:textId="77777777" w:rsidTr="00484C19">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39103D69" w:rsidR="00AA1FCD" w:rsidRPr="00366320" w:rsidRDefault="00366320" w:rsidP="00484C19">
            <w:pPr>
              <w:pStyle w:val="Podpunkty"/>
              <w:spacing w:before="40" w:after="40"/>
              <w:ind w:left="0"/>
              <w:jc w:val="left"/>
              <w:rPr>
                <w:rFonts w:ascii="Corbel" w:eastAsia="Calibri" w:hAnsi="Corbel" w:cs="Tahoma"/>
                <w:b w:val="0"/>
                <w:i/>
                <w:color w:val="auto"/>
                <w:sz w:val="24"/>
                <w:lang w:val="en-GB"/>
              </w:rPr>
            </w:pPr>
            <w:r w:rsidRPr="00366320">
              <w:rPr>
                <w:rFonts w:ascii="Corbel" w:hAnsi="Corbel"/>
                <w:b w:val="0"/>
                <w:color w:val="auto"/>
                <w:sz w:val="24"/>
                <w:szCs w:val="24"/>
                <w:lang w:val="en-GB"/>
              </w:rPr>
              <w:t>Preparation for interpreting and understanding knowledge related to the principles of conducting research in nursing using artificial intelligence, including: defining the research area in nursing, preparing and executing a research project in accordance with the research procedure, determining the research aim and research problems, selecting methods, techniques, and research tools, and utilising literature and literature analysis through available AI tools.</w:t>
            </w:r>
          </w:p>
        </w:tc>
      </w:tr>
      <w:tr w:rsidR="00AA1FCD" w:rsidRPr="00366320" w14:paraId="14AD3E3A" w14:textId="77777777" w:rsidTr="00484C19">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57BF8521" w:rsidR="00AA1FCD" w:rsidRPr="00484C19" w:rsidRDefault="00484C19">
            <w:pPr>
              <w:pStyle w:val="Cele"/>
              <w:spacing w:before="40" w:after="40"/>
              <w:ind w:left="0" w:firstLine="0"/>
              <w:jc w:val="left"/>
              <w:rPr>
                <w:rFonts w:ascii="Corbel" w:eastAsia="Calibri" w:hAnsi="Corbel" w:cs="Tahoma"/>
                <w:color w:val="auto"/>
                <w:sz w:val="24"/>
              </w:rPr>
            </w:pPr>
            <w:r>
              <w:rPr>
                <w:rFonts w:ascii="Corbel" w:eastAsia="Calibri" w:hAnsi="Corbel" w:cs="Tahoma"/>
                <w:color w:val="auto"/>
                <w:sz w:val="24"/>
              </w:rPr>
              <w:t>O2</w:t>
            </w:r>
          </w:p>
        </w:tc>
        <w:tc>
          <w:tcPr>
            <w:tcW w:w="89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1BDD6B30" w:rsidR="00AA1FCD" w:rsidRPr="00366320" w:rsidRDefault="00366320">
            <w:pPr>
              <w:pStyle w:val="Podpunkty"/>
              <w:spacing w:before="40" w:after="40"/>
              <w:ind w:left="0"/>
              <w:jc w:val="left"/>
              <w:rPr>
                <w:rFonts w:ascii="Corbel" w:eastAsia="Calibri" w:hAnsi="Corbel" w:cs="Tahoma"/>
                <w:b w:val="0"/>
                <w:color w:val="auto"/>
                <w:sz w:val="24"/>
                <w:lang w:val="en-GB"/>
              </w:rPr>
            </w:pPr>
            <w:r w:rsidRPr="00366320">
              <w:rPr>
                <w:rFonts w:ascii="Corbel" w:hAnsi="Corbel"/>
                <w:b w:val="0"/>
                <w:sz w:val="24"/>
                <w:szCs w:val="24"/>
                <w:lang w:val="en-GB"/>
              </w:rPr>
              <w:t>Preparation in the field of skills for conducting the research process and writing a master's thesis using AI</w:t>
            </w:r>
          </w:p>
        </w:tc>
      </w:tr>
    </w:tbl>
    <w:p w14:paraId="27F903D0" w14:textId="77777777" w:rsidR="00AA1FCD" w:rsidRPr="00366320" w:rsidRDefault="00AA1FCD">
      <w:pPr>
        <w:pStyle w:val="Punktygwne"/>
        <w:spacing w:before="0" w:after="0"/>
        <w:rPr>
          <w:rFonts w:ascii="Corbel" w:hAnsi="Corbel" w:cs="Tahoma"/>
          <w:b w:val="0"/>
          <w:color w:val="auto"/>
          <w:szCs w:val="24"/>
          <w:lang w:val="en-GB"/>
        </w:rPr>
      </w:pPr>
    </w:p>
    <w:p w14:paraId="17141091" w14:textId="77777777" w:rsidR="00AA1FCD" w:rsidRPr="00366320"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2B9BE462" w:rsidR="00AA1FCD" w:rsidRPr="00366320" w:rsidRDefault="00366320">
      <w:pPr>
        <w:pStyle w:val="Punktygwne"/>
        <w:spacing w:before="0" w:after="0"/>
        <w:rPr>
          <w:rFonts w:ascii="Corbel" w:hAnsi="Corbel"/>
          <w:b w:val="0"/>
          <w:color w:val="auto"/>
          <w:szCs w:val="24"/>
          <w:lang w:val="en-GB"/>
        </w:rPr>
      </w:pPr>
      <w:r w:rsidRPr="00366320">
        <w:rPr>
          <w:rFonts w:ascii="Corbel" w:hAnsi="Corbel"/>
          <w:b w:val="0"/>
          <w:smallCaps w:val="0"/>
          <w:szCs w:val="24"/>
          <w:lang w:val="en-GB"/>
        </w:rPr>
        <w:t xml:space="preserve">The student knows and </w:t>
      </w:r>
      <w:r>
        <w:rPr>
          <w:rFonts w:ascii="Corbel" w:hAnsi="Corbel"/>
          <w:b w:val="0"/>
          <w:smallCaps w:val="0"/>
          <w:szCs w:val="24"/>
          <w:lang w:val="en-GB"/>
        </w:rPr>
        <w:t>understands:</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484C19" w14:paraId="0827CF6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0506617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22D85FFB" w:rsidR="00AA1FCD" w:rsidRPr="004F2031" w:rsidRDefault="00484C19">
            <w:pPr>
              <w:pStyle w:val="Punktygwne"/>
              <w:spacing w:before="0" w:after="0"/>
              <w:rPr>
                <w:rFonts w:ascii="Corbel" w:hAnsi="Corbel" w:cs="Tahoma"/>
                <w:b w:val="0"/>
                <w:smallCaps w:val="0"/>
                <w:color w:val="auto"/>
                <w:szCs w:val="24"/>
                <w:lang w:val="en-GB" w:eastAsia="pl-PL"/>
              </w:rPr>
            </w:pPr>
            <w:r w:rsidRPr="00484C19">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015FF696" w:rsidR="00AA1FCD" w:rsidRPr="00366320" w:rsidRDefault="00366320" w:rsidP="00484C19">
            <w:pPr>
              <w:spacing w:after="0"/>
              <w:rPr>
                <w:rFonts w:ascii="Corbel" w:hAnsi="Corbel"/>
                <w:color w:val="auto"/>
                <w:szCs w:val="24"/>
                <w:lang w:val="en-GB"/>
              </w:rPr>
            </w:pPr>
            <w:r w:rsidRPr="00366320">
              <w:rPr>
                <w:rFonts w:ascii="Corbel" w:hAnsi="Corbel"/>
                <w:color w:val="auto"/>
                <w:szCs w:val="24"/>
                <w:lang w:val="en-GB"/>
              </w:rPr>
              <w:t>the role, limitations, and challenges of artificial intelligence in relation to scientific research</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3ED088B2" w:rsidR="00AA1FCD" w:rsidRPr="00484C19" w:rsidRDefault="00484C19">
            <w:pPr>
              <w:pStyle w:val="Punktygwne"/>
              <w:spacing w:before="0" w:after="0"/>
              <w:rPr>
                <w:rFonts w:ascii="Corbel" w:hAnsi="Corbel" w:cs="Tahoma"/>
                <w:b w:val="0"/>
                <w:smallCaps w:val="0"/>
                <w:color w:val="auto"/>
                <w:szCs w:val="20"/>
                <w:lang w:eastAsia="pl-PL"/>
              </w:rPr>
            </w:pPr>
            <w:proofErr w:type="gramStart"/>
            <w:r w:rsidRPr="008A40F7">
              <w:rPr>
                <w:rFonts w:ascii="Corbel" w:hAnsi="Corbel"/>
                <w:b w:val="0"/>
                <w:smallCaps w:val="0"/>
                <w:szCs w:val="24"/>
              </w:rPr>
              <w:t>B.W</w:t>
            </w:r>
            <w:proofErr w:type="gramEnd"/>
            <w:r w:rsidRPr="008A40F7">
              <w:rPr>
                <w:rFonts w:ascii="Corbel" w:hAnsi="Corbel"/>
                <w:b w:val="0"/>
                <w:smallCaps w:val="0"/>
                <w:szCs w:val="24"/>
              </w:rPr>
              <w:t>65</w:t>
            </w:r>
          </w:p>
        </w:tc>
      </w:tr>
      <w:tr w:rsidR="00AA1FCD" w:rsidRPr="004F2031" w14:paraId="799DB30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7C227DEA" w:rsidR="00AA1FCD" w:rsidRPr="004F2031" w:rsidRDefault="00484C19">
            <w:pPr>
              <w:pStyle w:val="Punktygwne"/>
              <w:spacing w:before="0" w:after="0"/>
              <w:rPr>
                <w:rFonts w:ascii="Corbel" w:hAnsi="Corbel" w:cs="Tahoma"/>
                <w:b w:val="0"/>
                <w:smallCaps w:val="0"/>
                <w:color w:val="auto"/>
                <w:szCs w:val="24"/>
                <w:lang w:val="en-GB" w:eastAsia="pl-PL"/>
              </w:rPr>
            </w:pPr>
            <w:r w:rsidRPr="00484C19">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1D879A16" w:rsidR="00AA1FCD" w:rsidRPr="0099643B" w:rsidRDefault="0099643B">
            <w:pPr>
              <w:pStyle w:val="Punktygwne"/>
              <w:spacing w:before="0" w:after="0"/>
              <w:rPr>
                <w:rFonts w:ascii="Corbel" w:hAnsi="Corbel" w:cs="Tahoma"/>
                <w:b w:val="0"/>
                <w:smallCaps w:val="0"/>
                <w:color w:val="auto"/>
                <w:szCs w:val="20"/>
                <w:lang w:val="en-GB" w:eastAsia="pl-PL"/>
              </w:rPr>
            </w:pPr>
            <w:r w:rsidRPr="0099643B">
              <w:rPr>
                <w:rFonts w:ascii="Corbel" w:hAnsi="Corbel"/>
                <w:b w:val="0"/>
                <w:smallCaps w:val="0"/>
                <w:szCs w:val="24"/>
                <w:lang w:val="en-GB"/>
              </w:rPr>
              <w:t>Directions and scope of EBN scientific research related to artificial intelligence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6C8CCC17" w:rsidR="00AA1FCD" w:rsidRPr="00484C19" w:rsidRDefault="00484C19">
            <w:pPr>
              <w:pStyle w:val="Punktygwne"/>
              <w:spacing w:before="0" w:after="0"/>
              <w:rPr>
                <w:rFonts w:ascii="Corbel" w:hAnsi="Corbel" w:cs="Tahoma"/>
                <w:b w:val="0"/>
                <w:smallCaps w:val="0"/>
                <w:color w:val="auto"/>
                <w:szCs w:val="20"/>
                <w:lang w:eastAsia="pl-PL"/>
              </w:rPr>
            </w:pPr>
            <w:proofErr w:type="gramStart"/>
            <w:r w:rsidRPr="008A40F7">
              <w:rPr>
                <w:rFonts w:ascii="Corbel" w:hAnsi="Corbel"/>
                <w:b w:val="0"/>
                <w:smallCaps w:val="0"/>
                <w:szCs w:val="24"/>
              </w:rPr>
              <w:t>B.W</w:t>
            </w:r>
            <w:proofErr w:type="gramEnd"/>
            <w:r w:rsidRPr="008A40F7">
              <w:rPr>
                <w:rFonts w:ascii="Corbel" w:hAnsi="Corbel"/>
                <w:b w:val="0"/>
                <w:smallCaps w:val="0"/>
                <w:szCs w:val="24"/>
              </w:rPr>
              <w:t>66</w:t>
            </w:r>
          </w:p>
        </w:tc>
      </w:tr>
      <w:tr w:rsidR="00AA1FCD" w:rsidRPr="004F2031" w14:paraId="4EEA86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4D1DEA92" w:rsidR="00AA1FCD" w:rsidRPr="004F2031" w:rsidRDefault="00484C19">
            <w:pPr>
              <w:pStyle w:val="Punktygwne"/>
              <w:spacing w:before="0" w:after="0"/>
              <w:rPr>
                <w:rFonts w:ascii="Corbel" w:hAnsi="Corbel" w:cs="Tahoma"/>
                <w:b w:val="0"/>
                <w:smallCaps w:val="0"/>
                <w:color w:val="auto"/>
                <w:szCs w:val="20"/>
                <w:lang w:val="en-GB" w:eastAsia="pl-PL"/>
              </w:rPr>
            </w:pPr>
            <w:r w:rsidRPr="00484C19">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1F2CC17D" w:rsidR="00AA1FCD" w:rsidRPr="0099643B" w:rsidRDefault="0099643B">
            <w:pPr>
              <w:pStyle w:val="Punktygwne"/>
              <w:spacing w:before="0" w:after="0"/>
              <w:rPr>
                <w:rFonts w:ascii="Corbel" w:hAnsi="Corbel" w:cs="Tahoma"/>
                <w:b w:val="0"/>
                <w:smallCaps w:val="0"/>
                <w:color w:val="auto"/>
                <w:szCs w:val="20"/>
                <w:lang w:val="en-GB" w:eastAsia="pl-PL"/>
              </w:rPr>
            </w:pPr>
            <w:r w:rsidRPr="0099643B">
              <w:rPr>
                <w:rFonts w:ascii="Corbel" w:hAnsi="Corbel"/>
                <w:b w:val="0"/>
                <w:smallCaps w:val="0"/>
                <w:szCs w:val="24"/>
                <w:lang w:val="en-GB"/>
              </w:rPr>
              <w:t>Good practices in scientific research based on artificial intelligence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48BF8" w14:textId="210F1609" w:rsidR="00AA1FCD" w:rsidRPr="00484C19" w:rsidRDefault="00484C19">
            <w:pPr>
              <w:pStyle w:val="Punktygwne"/>
              <w:spacing w:before="0" w:after="0"/>
              <w:rPr>
                <w:rFonts w:ascii="Corbel" w:hAnsi="Corbel" w:cs="Tahoma"/>
                <w:b w:val="0"/>
                <w:smallCaps w:val="0"/>
                <w:color w:val="auto"/>
                <w:szCs w:val="20"/>
                <w:lang w:eastAsia="pl-PL"/>
              </w:rPr>
            </w:pPr>
            <w:proofErr w:type="gramStart"/>
            <w:r w:rsidRPr="008A40F7">
              <w:rPr>
                <w:rFonts w:ascii="Corbel" w:hAnsi="Corbel"/>
                <w:b w:val="0"/>
                <w:smallCaps w:val="0"/>
                <w:szCs w:val="24"/>
              </w:rPr>
              <w:t>B.W</w:t>
            </w:r>
            <w:proofErr w:type="gramEnd"/>
            <w:r w:rsidRPr="008A40F7">
              <w:rPr>
                <w:rFonts w:ascii="Corbel" w:hAnsi="Corbel"/>
                <w:b w:val="0"/>
                <w:smallCaps w:val="0"/>
                <w:szCs w:val="24"/>
              </w:rPr>
              <w:t>67</w:t>
            </w:r>
          </w:p>
        </w:tc>
      </w:tr>
      <w:tr w:rsidR="00AA1FCD" w:rsidRPr="004F2031" w14:paraId="63FFBE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5630FAB6" w:rsidR="00AA1FCD" w:rsidRPr="004F2031" w:rsidRDefault="00484C19">
            <w:pPr>
              <w:pStyle w:val="Punktygwne"/>
              <w:spacing w:before="0" w:after="0"/>
              <w:rPr>
                <w:rFonts w:ascii="Corbel" w:hAnsi="Corbel" w:cs="Tahoma"/>
                <w:b w:val="0"/>
                <w:smallCaps w:val="0"/>
                <w:color w:val="auto"/>
                <w:szCs w:val="24"/>
                <w:lang w:val="en-GB" w:eastAsia="pl-PL"/>
              </w:rPr>
            </w:pPr>
            <w:r w:rsidRPr="00484C19">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51ED486F" w:rsidR="00AA1FCD" w:rsidRPr="0099643B" w:rsidRDefault="0099643B" w:rsidP="00484C19">
            <w:pPr>
              <w:pStyle w:val="Punktygwne"/>
              <w:spacing w:before="0" w:after="0"/>
              <w:rPr>
                <w:rFonts w:ascii="Corbel" w:hAnsi="Corbel" w:cs="Tahoma"/>
                <w:b w:val="0"/>
                <w:smallCaps w:val="0"/>
                <w:color w:val="auto"/>
                <w:szCs w:val="20"/>
                <w:lang w:val="en-GB" w:eastAsia="pl-PL"/>
              </w:rPr>
            </w:pPr>
            <w:r w:rsidRPr="0099643B">
              <w:rPr>
                <w:rFonts w:ascii="Corbel" w:hAnsi="Corbel"/>
                <w:b w:val="0"/>
                <w:smallCaps w:val="0"/>
                <w:color w:val="auto"/>
                <w:szCs w:val="24"/>
                <w:lang w:val="en-GB"/>
              </w:rPr>
              <w:t>Research tools used in qualitative and quantitative scientific studies employing artificial intelligence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7100CE24" w:rsidR="00AA1FCD" w:rsidRPr="00484C19" w:rsidRDefault="00484C19">
            <w:pPr>
              <w:pStyle w:val="Punktygwne"/>
              <w:spacing w:before="0" w:after="0"/>
              <w:rPr>
                <w:rFonts w:ascii="Corbel" w:hAnsi="Corbel" w:cs="Tahoma"/>
                <w:b w:val="0"/>
                <w:smallCaps w:val="0"/>
                <w:color w:val="auto"/>
                <w:szCs w:val="20"/>
                <w:lang w:eastAsia="pl-PL"/>
              </w:rPr>
            </w:pPr>
            <w:proofErr w:type="gramStart"/>
            <w:r w:rsidRPr="008A40F7">
              <w:rPr>
                <w:rFonts w:ascii="Corbel" w:hAnsi="Corbel"/>
                <w:b w:val="0"/>
                <w:smallCaps w:val="0"/>
                <w:szCs w:val="24"/>
              </w:rPr>
              <w:t>B.W</w:t>
            </w:r>
            <w:proofErr w:type="gramEnd"/>
            <w:r w:rsidRPr="008A40F7">
              <w:rPr>
                <w:rFonts w:ascii="Corbel" w:hAnsi="Corbel"/>
                <w:b w:val="0"/>
                <w:smallCaps w:val="0"/>
                <w:szCs w:val="24"/>
              </w:rPr>
              <w:t>68</w:t>
            </w:r>
          </w:p>
        </w:tc>
      </w:tr>
    </w:tbl>
    <w:p w14:paraId="653D3BC6" w14:textId="77777777" w:rsidR="00AA1FCD" w:rsidRPr="00484C19" w:rsidRDefault="00AA1FCD">
      <w:pPr>
        <w:pStyle w:val="Punktygwne"/>
        <w:spacing w:before="0" w:after="0"/>
        <w:rPr>
          <w:rFonts w:ascii="Corbel" w:hAnsi="Corbel"/>
          <w:b w:val="0"/>
          <w:color w:val="auto"/>
          <w:szCs w:val="24"/>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proofErr w:type="gramStart"/>
      <w:r w:rsidR="002D7484" w:rsidRPr="00F32FE2">
        <w:rPr>
          <w:rFonts w:ascii="Corbel" w:hAnsi="Corbel" w:cs="Tahoma"/>
          <w:b/>
          <w:color w:val="auto"/>
          <w:szCs w:val="24"/>
          <w:lang w:val="en-GB"/>
        </w:rPr>
        <w:t>content  (</w:t>
      </w:r>
      <w:proofErr w:type="gramEnd"/>
      <w:r w:rsidR="002D7484" w:rsidRPr="00F32FE2">
        <w:rPr>
          <w:rFonts w:ascii="Corbel" w:hAnsi="Corbel" w:cs="Tahoma"/>
          <w:b/>
          <w:color w:val="auto"/>
          <w:szCs w:val="24"/>
          <w:lang w:val="en-GB"/>
        </w:rPr>
        <w:t>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99643B"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0C3647F5" w:rsidR="00AA1FCD" w:rsidRPr="0099643B" w:rsidRDefault="0099643B" w:rsidP="00484C19">
            <w:pPr>
              <w:pStyle w:val="Akapitzlist"/>
              <w:spacing w:after="0" w:line="240" w:lineRule="auto"/>
              <w:ind w:left="0"/>
              <w:rPr>
                <w:rFonts w:ascii="Corbel" w:hAnsi="Corbel" w:cs="Tahoma"/>
                <w:color w:val="auto"/>
                <w:szCs w:val="24"/>
                <w:lang w:val="en-GB"/>
              </w:rPr>
            </w:pPr>
            <w:r w:rsidRPr="0099643B">
              <w:rPr>
                <w:rFonts w:ascii="Corbel" w:hAnsi="Corbel"/>
                <w:szCs w:val="24"/>
                <w:lang w:val="en-GB"/>
              </w:rPr>
              <w:t>The role of artificial intelligence in fact-based scientific research – directions, scope, and types</w:t>
            </w:r>
          </w:p>
        </w:tc>
      </w:tr>
      <w:tr w:rsidR="00AA1FCD" w:rsidRPr="0099643B" w14:paraId="7F8F67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EC42" w14:textId="6D4F3FDE" w:rsidR="00AA1FCD" w:rsidRPr="0099643B" w:rsidRDefault="0099643B">
            <w:pPr>
              <w:pStyle w:val="Akapitzlist"/>
              <w:spacing w:after="0" w:line="240" w:lineRule="auto"/>
              <w:ind w:left="0"/>
              <w:rPr>
                <w:rFonts w:ascii="Corbel" w:hAnsi="Corbel" w:cs="Tahoma"/>
                <w:color w:val="auto"/>
                <w:szCs w:val="24"/>
                <w:lang w:val="en-GB"/>
              </w:rPr>
            </w:pPr>
            <w:r w:rsidRPr="0099643B">
              <w:rPr>
                <w:rFonts w:ascii="Corbel" w:hAnsi="Corbel"/>
                <w:szCs w:val="24"/>
                <w:lang w:val="en-GB"/>
              </w:rPr>
              <w:t>Principles of planning and conducting scientific research based on AI</w:t>
            </w:r>
          </w:p>
        </w:tc>
      </w:tr>
      <w:tr w:rsidR="00AA1FCD" w:rsidRPr="0099643B" w14:paraId="6AAFBD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7DF86A" w14:textId="394084F0" w:rsidR="00AA1FCD" w:rsidRPr="0099643B" w:rsidRDefault="0099643B">
            <w:pPr>
              <w:pStyle w:val="Akapitzlist"/>
              <w:spacing w:after="0" w:line="240" w:lineRule="auto"/>
              <w:ind w:left="0"/>
              <w:rPr>
                <w:rFonts w:ascii="Corbel" w:hAnsi="Corbel" w:cs="Tahoma"/>
                <w:color w:val="auto"/>
                <w:szCs w:val="24"/>
                <w:lang w:val="en-GB"/>
              </w:rPr>
            </w:pPr>
            <w:r w:rsidRPr="0099643B">
              <w:rPr>
                <w:rFonts w:ascii="Corbel" w:hAnsi="Corbel"/>
                <w:szCs w:val="24"/>
                <w:lang w:val="en-GB"/>
              </w:rPr>
              <w:t>Research methods, techniques, and tools used in scientific studies in nursing based on AI</w:t>
            </w:r>
          </w:p>
        </w:tc>
      </w:tr>
      <w:tr w:rsidR="00AA1FCD" w:rsidRPr="0099643B" w14:paraId="5A8AE48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3D2CD" w14:textId="7D715E7A" w:rsidR="00AA1FCD" w:rsidRPr="0099643B" w:rsidRDefault="0099643B">
            <w:pPr>
              <w:pStyle w:val="Akapitzlist"/>
              <w:spacing w:after="0" w:line="240" w:lineRule="auto"/>
              <w:ind w:left="0"/>
              <w:rPr>
                <w:rFonts w:ascii="Corbel" w:hAnsi="Corbel" w:cs="Tahoma"/>
                <w:color w:val="auto"/>
                <w:szCs w:val="24"/>
                <w:lang w:val="en-GB"/>
              </w:rPr>
            </w:pPr>
            <w:r w:rsidRPr="0099643B">
              <w:rPr>
                <w:rFonts w:ascii="Corbel" w:hAnsi="Corbel"/>
                <w:szCs w:val="24"/>
                <w:lang w:val="en-GB"/>
              </w:rPr>
              <w:t xml:space="preserve">Principles of good practice in AI-based scientific research                                                             </w:t>
            </w:r>
          </w:p>
        </w:tc>
      </w:tr>
    </w:tbl>
    <w:p w14:paraId="1D6EEC96" w14:textId="77777777" w:rsidR="00AA1FCD" w:rsidRPr="0099643B" w:rsidRDefault="00AA1FCD">
      <w:pPr>
        <w:rPr>
          <w:rFonts w:ascii="Corbel" w:hAnsi="Corbel" w:cs="Tahoma"/>
          <w:color w:val="auto"/>
          <w:szCs w:val="24"/>
          <w:lang w:val="en-GB"/>
        </w:rPr>
      </w:pPr>
    </w:p>
    <w:p w14:paraId="4602E95C" w14:textId="77777777" w:rsidR="00AA1FCD" w:rsidRPr="004F2031" w:rsidRDefault="00AA1FCD">
      <w:pPr>
        <w:pStyle w:val="Akapitzlist"/>
        <w:ind w:left="1080"/>
        <w:jc w:val="both"/>
        <w:rPr>
          <w:rFonts w:ascii="Corbel" w:hAnsi="Corbel" w:cs="Tahoma"/>
          <w:color w:val="auto"/>
          <w:szCs w:val="24"/>
          <w:lang w:val="en-GB"/>
        </w:rPr>
      </w:pPr>
    </w:p>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lastRenderedPageBreak/>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3836DB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74148D58" w14:textId="77777777" w:rsidR="00AA1FCD" w:rsidRPr="00484C19" w:rsidRDefault="002D7484">
      <w:pPr>
        <w:pStyle w:val="Punktygwne"/>
        <w:spacing w:before="0" w:after="0"/>
        <w:rPr>
          <w:rFonts w:ascii="Corbel" w:hAnsi="Corbel" w:cs="Tahoma"/>
          <w:b w:val="0"/>
          <w:i/>
          <w:smallCaps w:val="0"/>
          <w:color w:val="auto"/>
          <w:sz w:val="20"/>
          <w:szCs w:val="20"/>
          <w:u w:val="single"/>
          <w:lang w:val="en-GB"/>
        </w:rPr>
      </w:pPr>
      <w:r w:rsidRPr="00484C19">
        <w:rPr>
          <w:rFonts w:ascii="Corbel" w:hAnsi="Corbel" w:cs="Tahoma"/>
          <w:b w:val="0"/>
          <w:i/>
          <w:smallCaps w:val="0"/>
          <w:color w:val="auto"/>
          <w:sz w:val="20"/>
          <w:szCs w:val="20"/>
          <w:u w:val="single"/>
          <w:lang w:val="en-GB"/>
        </w:rPr>
        <w:t>Lecture: a problem-solving lecture/a lecture supported by a multimedia presentation/ distance learning</w:t>
      </w:r>
    </w:p>
    <w:p w14:paraId="5A591A73" w14:textId="2B0E7F25" w:rsidR="00484C19" w:rsidRPr="00484C19" w:rsidRDefault="0099643B" w:rsidP="00484C19">
      <w:pPr>
        <w:suppressAutoHyphens w:val="0"/>
        <w:spacing w:after="0" w:line="240" w:lineRule="auto"/>
        <w:rPr>
          <w:rFonts w:ascii="Corbel" w:hAnsi="Corbel"/>
          <w:color w:val="auto"/>
          <w:szCs w:val="24"/>
          <w:lang w:val="en-GB"/>
        </w:rPr>
      </w:pPr>
      <w:r w:rsidRPr="0099643B">
        <w:rPr>
          <w:rFonts w:ascii="Corbel" w:hAnsi="Corbel"/>
          <w:color w:val="auto"/>
          <w:szCs w:val="24"/>
          <w:u w:val="single"/>
          <w:lang w:val="en-GB"/>
        </w:rPr>
        <w:t>Lecture - problem-based lecture with multimedia presentation (online)</w:t>
      </w:r>
    </w:p>
    <w:p w14:paraId="3984EA60" w14:textId="77777777" w:rsidR="00AA1FCD" w:rsidRPr="0099643B" w:rsidRDefault="00AA1FCD">
      <w:pPr>
        <w:pStyle w:val="Punktygwne"/>
        <w:spacing w:before="0" w:after="0"/>
        <w:rPr>
          <w:rFonts w:ascii="Corbel" w:hAnsi="Corbel" w:cs="Tahoma"/>
          <w:b w:val="0"/>
          <w:smallCaps w:val="0"/>
          <w:color w:val="auto"/>
          <w:szCs w:val="24"/>
          <w:lang w:val="en-GB"/>
        </w:rPr>
      </w:pPr>
    </w:p>
    <w:p w14:paraId="3B2040F6" w14:textId="77777777" w:rsidR="00AA1FCD" w:rsidRPr="0099643B" w:rsidRDefault="00AA1FCD">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rsidTr="00484C1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628EAAB9" w14:textId="77777777" w:rsidTr="00484C1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7CDE9A22" w:rsidR="00AA1FCD" w:rsidRPr="004F2031" w:rsidRDefault="0099643B">
            <w:pPr>
              <w:pStyle w:val="Punktygwne"/>
              <w:spacing w:before="0" w:after="0"/>
              <w:rPr>
                <w:rFonts w:ascii="Corbel" w:hAnsi="Corbel"/>
                <w:b w:val="0"/>
                <w:i/>
                <w:color w:val="auto"/>
                <w:szCs w:val="20"/>
                <w:lang w:val="en-GB" w:eastAsia="pl-PL"/>
              </w:rPr>
            </w:pPr>
            <w:r w:rsidRPr="0099643B">
              <w:rPr>
                <w:rFonts w:ascii="Corbel" w:hAnsi="Corbel"/>
                <w:b w:val="0"/>
                <w:i/>
                <w:color w:val="auto"/>
                <w:szCs w:val="20"/>
                <w:lang w:val="en-GB" w:eastAsia="pl-PL"/>
              </w:rPr>
              <w:t>written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4E3ACF06" w:rsidR="00AA1FCD" w:rsidRPr="004F2031" w:rsidRDefault="0099643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484C19" w:rsidRPr="004F2031" w14:paraId="2D05CC23" w14:textId="77777777" w:rsidTr="00484C1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303CF6" w14:textId="54BF605C" w:rsidR="00484C19" w:rsidRPr="004F2031" w:rsidRDefault="00484C1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9F745E" w14:textId="39A495B1" w:rsidR="00484C19" w:rsidRPr="004F2031" w:rsidRDefault="0099643B">
            <w:pPr>
              <w:pStyle w:val="Punktygwne"/>
              <w:spacing w:before="0" w:after="0"/>
              <w:rPr>
                <w:rFonts w:ascii="Corbel" w:hAnsi="Corbel"/>
                <w:b w:val="0"/>
                <w:i/>
                <w:color w:val="auto"/>
                <w:szCs w:val="20"/>
                <w:lang w:val="en-GB" w:eastAsia="pl-PL"/>
              </w:rPr>
            </w:pPr>
            <w:r w:rsidRPr="0099643B">
              <w:rPr>
                <w:rFonts w:ascii="Corbel" w:hAnsi="Corbel"/>
                <w:b w:val="0"/>
                <w:i/>
                <w:color w:val="auto"/>
                <w:szCs w:val="20"/>
                <w:lang w:val="en-GB" w:eastAsia="pl-PL"/>
              </w:rPr>
              <w:t>written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403389" w14:textId="445A7828" w:rsidR="00484C19" w:rsidRPr="004F2031" w:rsidRDefault="0099643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484C19" w:rsidRPr="004F2031" w14:paraId="2B390130" w14:textId="77777777" w:rsidTr="00484C1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E49D6" w14:textId="51CDF4C5" w:rsidR="00484C19" w:rsidRPr="004F2031" w:rsidRDefault="00484C1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E38D0E" w14:textId="5499062E" w:rsidR="00484C19" w:rsidRPr="004F2031" w:rsidRDefault="0099643B">
            <w:pPr>
              <w:pStyle w:val="Punktygwne"/>
              <w:spacing w:before="0" w:after="0"/>
              <w:rPr>
                <w:rFonts w:ascii="Corbel" w:hAnsi="Corbel"/>
                <w:b w:val="0"/>
                <w:i/>
                <w:color w:val="auto"/>
                <w:szCs w:val="20"/>
                <w:lang w:val="en-GB" w:eastAsia="pl-PL"/>
              </w:rPr>
            </w:pPr>
            <w:r w:rsidRPr="0099643B">
              <w:rPr>
                <w:rFonts w:ascii="Corbel" w:hAnsi="Corbel"/>
                <w:b w:val="0"/>
                <w:i/>
                <w:color w:val="auto"/>
                <w:szCs w:val="20"/>
                <w:lang w:val="en-GB" w:eastAsia="pl-PL"/>
              </w:rPr>
              <w:t>written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724BB" w14:textId="3B673564" w:rsidR="00484C19" w:rsidRPr="004F2031" w:rsidRDefault="0099643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AA1FCD" w:rsidRPr="004F2031" w14:paraId="46FCA204" w14:textId="77777777" w:rsidTr="00484C1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2304A6F0" w:rsidR="00AA1FCD" w:rsidRPr="004F2031" w:rsidRDefault="00484C1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71B4E3F7" w:rsidR="00AA1FCD" w:rsidRPr="004F2031" w:rsidRDefault="0099643B">
            <w:pPr>
              <w:pStyle w:val="Punktygwne"/>
              <w:spacing w:before="0" w:after="0"/>
              <w:rPr>
                <w:rFonts w:ascii="Corbel" w:hAnsi="Corbel"/>
                <w:b w:val="0"/>
                <w:color w:val="auto"/>
                <w:szCs w:val="20"/>
                <w:lang w:val="en-GB" w:eastAsia="pl-PL"/>
              </w:rPr>
            </w:pPr>
            <w:r w:rsidRPr="0099643B">
              <w:rPr>
                <w:rFonts w:ascii="Corbel" w:hAnsi="Corbel"/>
                <w:b w:val="0"/>
                <w:color w:val="auto"/>
                <w:szCs w:val="20"/>
                <w:lang w:val="en-GB" w:eastAsia="pl-PL"/>
              </w:rPr>
              <w:t>written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754BF33E" w:rsidR="00AA1FCD" w:rsidRPr="004F2031" w:rsidRDefault="0099643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9643B"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86C80D" w14:textId="77777777" w:rsidR="0099643B" w:rsidRPr="0099643B" w:rsidRDefault="0099643B" w:rsidP="00484C19">
            <w:pPr>
              <w:suppressAutoHyphens w:val="0"/>
              <w:spacing w:before="240" w:after="0" w:line="240" w:lineRule="auto"/>
              <w:rPr>
                <w:rFonts w:ascii="Corbel" w:hAnsi="Corbel"/>
                <w:b/>
                <w:bCs/>
                <w:color w:val="auto"/>
                <w:szCs w:val="24"/>
                <w:lang w:val="en-GB"/>
              </w:rPr>
            </w:pPr>
            <w:r w:rsidRPr="0099643B">
              <w:rPr>
                <w:rFonts w:ascii="Corbel" w:hAnsi="Corbel"/>
                <w:b/>
                <w:bCs/>
                <w:color w:val="auto"/>
                <w:szCs w:val="24"/>
                <w:lang w:val="en-GB"/>
              </w:rPr>
              <w:t>Lecture</w:t>
            </w:r>
          </w:p>
          <w:p w14:paraId="7CA2EF73" w14:textId="3B109BBE" w:rsidR="00484C19" w:rsidRPr="00484C19" w:rsidRDefault="0099643B" w:rsidP="00484C19">
            <w:pPr>
              <w:suppressAutoHyphens w:val="0"/>
              <w:spacing w:before="240" w:after="0" w:line="240" w:lineRule="auto"/>
              <w:rPr>
                <w:rFonts w:ascii="Corbel" w:hAnsi="Corbel"/>
                <w:color w:val="auto"/>
                <w:szCs w:val="24"/>
                <w:lang w:val="en-GB"/>
              </w:rPr>
            </w:pPr>
            <w:r w:rsidRPr="0099643B">
              <w:rPr>
                <w:rFonts w:ascii="Corbel" w:hAnsi="Corbel"/>
                <w:color w:val="auto"/>
                <w:szCs w:val="24"/>
                <w:lang w:val="en-GB"/>
              </w:rPr>
              <w:t>The student is obliged to participate systematically in lecture classes, with 100% attendance. Any absences from lectures do not exempt the student from the obligation to assimilate the material presented during the lecture. The credit is based on a thematic test (achieving at least 60% correct answers). The test consists of 20 single-choice questions. The duration of the test is 20 minutes.</w:t>
            </w:r>
          </w:p>
          <w:p w14:paraId="23FCB9D5" w14:textId="77777777" w:rsidR="00AA1FCD" w:rsidRDefault="00AA1FCD">
            <w:pPr>
              <w:pStyle w:val="Punktygwne"/>
              <w:spacing w:before="0" w:after="0"/>
              <w:rPr>
                <w:rFonts w:ascii="Corbel" w:hAnsi="Corbel" w:cs="Tahoma"/>
                <w:b w:val="0"/>
                <w:smallCaps w:val="0"/>
                <w:color w:val="auto"/>
                <w:szCs w:val="20"/>
                <w:lang w:val="en-GB" w:eastAsia="pl-PL"/>
              </w:rPr>
            </w:pPr>
          </w:p>
          <w:p w14:paraId="2A1A1C0D" w14:textId="77777777" w:rsidR="0099643B" w:rsidRPr="0099643B" w:rsidRDefault="0099643B" w:rsidP="00EE0724">
            <w:pPr>
              <w:suppressAutoHyphens w:val="0"/>
              <w:spacing w:after="0" w:line="240" w:lineRule="auto"/>
              <w:rPr>
                <w:rFonts w:ascii="Corbel" w:hAnsi="Corbel"/>
                <w:color w:val="auto"/>
                <w:szCs w:val="24"/>
                <w:lang w:val="en-GB"/>
              </w:rPr>
            </w:pPr>
            <w:r w:rsidRPr="0099643B">
              <w:rPr>
                <w:rFonts w:ascii="Corbel" w:hAnsi="Corbel"/>
                <w:color w:val="auto"/>
                <w:szCs w:val="24"/>
                <w:lang w:val="en-GB"/>
              </w:rPr>
              <w:t xml:space="preserve">5.0 – the student has achieved learning outcomes at a level of 93-100% </w:t>
            </w:r>
          </w:p>
          <w:p w14:paraId="55D1F937" w14:textId="77777777" w:rsidR="0099643B" w:rsidRPr="0099643B" w:rsidRDefault="0099643B" w:rsidP="00EE0724">
            <w:pPr>
              <w:suppressAutoHyphens w:val="0"/>
              <w:spacing w:after="0" w:line="240" w:lineRule="auto"/>
              <w:rPr>
                <w:rFonts w:ascii="Corbel" w:hAnsi="Corbel"/>
                <w:color w:val="auto"/>
                <w:szCs w:val="24"/>
                <w:lang w:val="en-GB"/>
              </w:rPr>
            </w:pPr>
            <w:r w:rsidRPr="0099643B">
              <w:rPr>
                <w:rFonts w:ascii="Corbel" w:hAnsi="Corbel"/>
                <w:color w:val="auto"/>
                <w:szCs w:val="24"/>
                <w:lang w:val="en-GB"/>
              </w:rPr>
              <w:t xml:space="preserve">4.5 – the student has achieved learning outcomes at a level of 85-92% </w:t>
            </w:r>
          </w:p>
          <w:p w14:paraId="4205198C" w14:textId="77777777" w:rsidR="0099643B" w:rsidRPr="0099643B" w:rsidRDefault="0099643B" w:rsidP="00EE0724">
            <w:pPr>
              <w:suppressAutoHyphens w:val="0"/>
              <w:spacing w:after="0" w:line="240" w:lineRule="auto"/>
              <w:rPr>
                <w:rFonts w:ascii="Corbel" w:hAnsi="Corbel"/>
                <w:color w:val="auto"/>
                <w:szCs w:val="24"/>
                <w:lang w:val="en-GB"/>
              </w:rPr>
            </w:pPr>
            <w:r w:rsidRPr="0099643B">
              <w:rPr>
                <w:rFonts w:ascii="Corbel" w:hAnsi="Corbel"/>
                <w:color w:val="auto"/>
                <w:szCs w:val="24"/>
                <w:lang w:val="en-GB"/>
              </w:rPr>
              <w:t xml:space="preserve">4.0 – the student has achieved learning outcomes at a level of 77-84% </w:t>
            </w:r>
          </w:p>
          <w:p w14:paraId="097F5B5A" w14:textId="77777777" w:rsidR="0099643B" w:rsidRPr="0099643B" w:rsidRDefault="0099643B" w:rsidP="00EE0724">
            <w:pPr>
              <w:suppressAutoHyphens w:val="0"/>
              <w:spacing w:after="0" w:line="240" w:lineRule="auto"/>
              <w:rPr>
                <w:rFonts w:ascii="Corbel" w:hAnsi="Corbel"/>
                <w:color w:val="auto"/>
                <w:szCs w:val="24"/>
                <w:lang w:val="en-GB"/>
              </w:rPr>
            </w:pPr>
            <w:r w:rsidRPr="0099643B">
              <w:rPr>
                <w:rFonts w:ascii="Corbel" w:hAnsi="Corbel"/>
                <w:color w:val="auto"/>
                <w:szCs w:val="24"/>
                <w:lang w:val="en-GB"/>
              </w:rPr>
              <w:t xml:space="preserve">3.5 – the student has achieved learning outcomes at a level of 69-76% </w:t>
            </w:r>
          </w:p>
          <w:p w14:paraId="37712652" w14:textId="77777777" w:rsidR="0099643B" w:rsidRPr="0099643B" w:rsidRDefault="0099643B" w:rsidP="00EE0724">
            <w:pPr>
              <w:suppressAutoHyphens w:val="0"/>
              <w:spacing w:after="0" w:line="240" w:lineRule="auto"/>
              <w:rPr>
                <w:rFonts w:ascii="Corbel" w:hAnsi="Corbel"/>
                <w:color w:val="auto"/>
                <w:szCs w:val="24"/>
                <w:lang w:val="en-GB"/>
              </w:rPr>
            </w:pPr>
            <w:r w:rsidRPr="0099643B">
              <w:rPr>
                <w:rFonts w:ascii="Corbel" w:hAnsi="Corbel"/>
                <w:color w:val="auto"/>
                <w:szCs w:val="24"/>
                <w:lang w:val="en-GB"/>
              </w:rPr>
              <w:t xml:space="preserve">3.0 – the student has achieved learning outcomes at a level of 60-68% </w:t>
            </w:r>
          </w:p>
          <w:p w14:paraId="311FE80A" w14:textId="0AD7E724" w:rsidR="00EE0724" w:rsidRPr="00EE0724" w:rsidRDefault="0099643B" w:rsidP="00EE0724">
            <w:pPr>
              <w:suppressAutoHyphens w:val="0"/>
              <w:spacing w:after="0" w:line="240" w:lineRule="auto"/>
              <w:rPr>
                <w:rFonts w:ascii="Corbel" w:hAnsi="Corbel"/>
                <w:color w:val="auto"/>
                <w:szCs w:val="24"/>
                <w:lang w:val="en-GB"/>
              </w:rPr>
            </w:pPr>
            <w:r w:rsidRPr="0099643B">
              <w:rPr>
                <w:rFonts w:ascii="Corbel" w:hAnsi="Corbel"/>
                <w:color w:val="auto"/>
                <w:szCs w:val="24"/>
                <w:lang w:val="en-GB"/>
              </w:rPr>
              <w:t xml:space="preserve">2.0 – the student has achieved learning outcomes below 60% </w:t>
            </w:r>
          </w:p>
          <w:p w14:paraId="3015A405" w14:textId="77777777" w:rsidR="00EE0724" w:rsidRPr="00EE0724" w:rsidRDefault="00EE0724" w:rsidP="00EE0724">
            <w:pPr>
              <w:suppressAutoHyphens w:val="0"/>
              <w:spacing w:after="0" w:line="240" w:lineRule="auto"/>
              <w:rPr>
                <w:rFonts w:ascii="Corbel" w:hAnsi="Corbel"/>
                <w:color w:val="auto"/>
                <w:szCs w:val="24"/>
                <w:lang w:val="en-GB"/>
              </w:rPr>
            </w:pPr>
          </w:p>
          <w:p w14:paraId="66EB6CCA" w14:textId="77777777" w:rsidR="00EE0724" w:rsidRPr="0099643B" w:rsidRDefault="00EE0724">
            <w:pPr>
              <w:pStyle w:val="Punktygwne"/>
              <w:spacing w:before="0" w:after="0"/>
              <w:rPr>
                <w:rFonts w:ascii="Corbel" w:hAnsi="Corbel" w:cs="Tahoma"/>
                <w:b w:val="0"/>
                <w:smallCaps w:val="0"/>
                <w:color w:val="auto"/>
                <w:szCs w:val="20"/>
                <w:lang w:val="en-GB" w:eastAsia="pl-PL"/>
              </w:rPr>
            </w:pPr>
          </w:p>
          <w:p w14:paraId="3171E670" w14:textId="77777777" w:rsidR="00AA1FCD" w:rsidRPr="0099643B" w:rsidRDefault="00AA1FCD">
            <w:pPr>
              <w:pStyle w:val="Punktygwne"/>
              <w:spacing w:before="0" w:after="0"/>
              <w:rPr>
                <w:rFonts w:ascii="Corbel" w:hAnsi="Corbel" w:cs="Tahoma"/>
                <w:b w:val="0"/>
                <w:i/>
                <w:smallCaps w:val="0"/>
                <w:color w:val="auto"/>
                <w:szCs w:val="20"/>
                <w:lang w:val="en-GB" w:eastAsia="pl-PL"/>
              </w:rPr>
            </w:pPr>
          </w:p>
        </w:tc>
      </w:tr>
    </w:tbl>
    <w:p w14:paraId="5D3827B5" w14:textId="77777777" w:rsidR="00AA1FCD" w:rsidRPr="0099643B"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7534B3F7" w:rsidR="00AA1FCD" w:rsidRPr="004F2031" w:rsidRDefault="00EE0724" w:rsidP="00EE0724">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15</w:t>
            </w:r>
          </w:p>
        </w:tc>
      </w:tr>
      <w:tr w:rsidR="00AA1FCD" w:rsidRPr="00484C19"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01E9144E" w:rsidR="00AA1FCD" w:rsidRPr="004F2031" w:rsidRDefault="00EE0724" w:rsidP="00EE0724">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484C19"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7058063D" w:rsidR="00AA1FCD" w:rsidRPr="004F2031" w:rsidRDefault="00EE0724" w:rsidP="00EE0724">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AA1FCD"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64484B4A" w:rsidR="00AA1FCD" w:rsidRPr="004F2031" w:rsidRDefault="00EE0724" w:rsidP="00EE0724">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35</w:t>
            </w:r>
          </w:p>
        </w:tc>
      </w:tr>
      <w:tr w:rsidR="00AA1FCD" w:rsidRPr="00484C19"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447D497F" w:rsidR="00AA1FCD" w:rsidRPr="004F2031" w:rsidRDefault="00EE0724" w:rsidP="00EE0724">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73"/>
      </w:tblGrid>
      <w:tr w:rsidR="00AA1FCD" w:rsidRPr="00366320"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716BB449" w14:textId="78B1DF24" w:rsidR="00AA1FCD" w:rsidRPr="00366320" w:rsidRDefault="00366320" w:rsidP="0036632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1.</w:t>
            </w:r>
            <w:r w:rsidRPr="00366320">
              <w:rPr>
                <w:rFonts w:ascii="Corbel" w:hAnsi="Corbel" w:cs="Tahoma"/>
                <w:b w:val="0"/>
                <w:smallCaps w:val="0"/>
                <w:color w:val="auto"/>
                <w:szCs w:val="24"/>
                <w:lang w:val="en-GB" w:eastAsia="pl-PL"/>
              </w:rPr>
              <w:t>European Parliament &amp; Council of the European Union. (2024). Regulation (EU) 2024/1689 on artificial intelligence (Artificial Intelligence Act). Official Journal of the European Union, OJ L 2024/1689. Retrieved from https://eur-lex.europa.eu/legal-content/EN/TXT/PDF/?uri=OJ%3AL_202401689</w:t>
            </w:r>
          </w:p>
          <w:p w14:paraId="106970ED" w14:textId="77777777" w:rsidR="00366320" w:rsidRPr="00366320" w:rsidRDefault="00366320" w:rsidP="00366320">
            <w:pPr>
              <w:pStyle w:val="Punktygwne"/>
              <w:spacing w:before="0" w:after="0"/>
              <w:rPr>
                <w:rFonts w:ascii="Corbel" w:hAnsi="Corbel" w:cs="Tahoma"/>
                <w:b w:val="0"/>
                <w:smallCaps w:val="0"/>
                <w:color w:val="auto"/>
                <w:szCs w:val="24"/>
                <w:lang w:val="en-GB" w:eastAsia="pl-PL"/>
              </w:rPr>
            </w:pPr>
          </w:p>
          <w:p w14:paraId="6EF63C50" w14:textId="5CA73262" w:rsidR="00366320" w:rsidRDefault="00366320" w:rsidP="0036632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eastAsia="pl-PL"/>
              </w:rPr>
              <w:t xml:space="preserve">2. </w:t>
            </w:r>
            <w:r w:rsidRPr="00366320">
              <w:rPr>
                <w:rFonts w:ascii="Corbel" w:hAnsi="Corbel" w:cs="Tahoma"/>
                <w:b w:val="0"/>
                <w:smallCaps w:val="0"/>
                <w:color w:val="auto"/>
                <w:szCs w:val="24"/>
                <w:lang w:eastAsia="pl-PL"/>
              </w:rPr>
              <w:t xml:space="preserve">CETIC. </w:t>
            </w:r>
            <w:r w:rsidRPr="00366320">
              <w:rPr>
                <w:rFonts w:ascii="Corbel" w:hAnsi="Corbel" w:cs="Tahoma"/>
                <w:b w:val="0"/>
                <w:smallCaps w:val="0"/>
                <w:color w:val="auto"/>
                <w:szCs w:val="24"/>
                <w:lang w:val="en-GB" w:eastAsia="pl-PL"/>
              </w:rPr>
              <w:t>(2024). Artificial Intelligence in Health Care: Sectoral Study. CETIC. Retrieved from</w:t>
            </w:r>
            <w:r>
              <w:rPr>
                <w:rFonts w:ascii="Corbel" w:hAnsi="Corbel" w:cs="Tahoma"/>
                <w:b w:val="0"/>
                <w:smallCaps w:val="0"/>
                <w:color w:val="auto"/>
                <w:szCs w:val="24"/>
                <w:lang w:val="en-GB" w:eastAsia="pl-PL"/>
              </w:rPr>
              <w:t xml:space="preserve"> </w:t>
            </w:r>
            <w:hyperlink r:id="rId8" w:history="1">
              <w:r w:rsidRPr="00BC7E74">
                <w:rPr>
                  <w:rStyle w:val="Hipercze"/>
                  <w:rFonts w:ascii="Corbel" w:hAnsi="Corbel" w:cs="Tahoma"/>
                  <w:b w:val="0"/>
                  <w:smallCaps w:val="0"/>
                  <w:szCs w:val="24"/>
                  <w:lang w:val="en-GB" w:eastAsia="pl-PL"/>
                </w:rPr>
                <w:t>https://cetic.br/media/docs/publicacoes/7/20241010191241/sectoral_studies_ai_in_healthcare.pdf</w:t>
              </w:r>
            </w:hyperlink>
          </w:p>
          <w:p w14:paraId="1F7A95D8" w14:textId="6AD08C49" w:rsidR="00366320" w:rsidRPr="00366320" w:rsidRDefault="00366320" w:rsidP="0036632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3.</w:t>
            </w:r>
            <w:r w:rsidRPr="00366320">
              <w:rPr>
                <w:rFonts w:ascii="Corbel" w:hAnsi="Corbel" w:cs="Tahoma"/>
                <w:b w:val="0"/>
                <w:smallCaps w:val="0"/>
                <w:color w:val="auto"/>
                <w:szCs w:val="24"/>
                <w:lang w:val="en-GB" w:eastAsia="pl-PL"/>
              </w:rPr>
              <w:t xml:space="preserve">A Guide to Artificial Intelligence in Healthcare (n.d.). Retrieved from </w:t>
            </w:r>
            <w:hyperlink r:id="rId9" w:history="1">
              <w:r w:rsidRPr="00BC7E74">
                <w:rPr>
                  <w:rStyle w:val="Hipercze"/>
                  <w:rFonts w:ascii="Corbel" w:hAnsi="Corbel" w:cs="Tahoma"/>
                  <w:b w:val="0"/>
                  <w:smallCaps w:val="0"/>
                  <w:szCs w:val="24"/>
                  <w:lang w:val="en-GB" w:eastAsia="pl-PL"/>
                </w:rPr>
                <w:t>https://ca-hwi.org/public/uploads/pdfs/ArtificialIntelligenceinHealthcare.pdf</w:t>
              </w:r>
            </w:hyperlink>
            <w:r>
              <w:rPr>
                <w:rFonts w:ascii="Corbel" w:hAnsi="Corbel" w:cs="Tahoma"/>
                <w:b w:val="0"/>
                <w:smallCaps w:val="0"/>
                <w:color w:val="auto"/>
                <w:szCs w:val="24"/>
                <w:lang w:val="en-GB" w:eastAsia="pl-PL"/>
              </w:rPr>
              <w:t xml:space="preserve"> </w:t>
            </w:r>
          </w:p>
          <w:p w14:paraId="5F51AF40" w14:textId="77777777" w:rsidR="00366320" w:rsidRPr="00366320" w:rsidRDefault="00366320" w:rsidP="00366320">
            <w:pPr>
              <w:pStyle w:val="Punktygwne"/>
              <w:spacing w:before="0" w:after="0"/>
              <w:rPr>
                <w:rFonts w:ascii="Corbel" w:hAnsi="Corbel" w:cs="Tahoma"/>
                <w:b w:val="0"/>
                <w:smallCaps w:val="0"/>
                <w:color w:val="auto"/>
                <w:szCs w:val="24"/>
                <w:lang w:val="en-GB" w:eastAsia="pl-PL"/>
              </w:rPr>
            </w:pPr>
          </w:p>
          <w:p w14:paraId="5E876806" w14:textId="77777777" w:rsidR="00366320" w:rsidRPr="00366320" w:rsidRDefault="00366320">
            <w:pPr>
              <w:pStyle w:val="Punktygwne"/>
              <w:spacing w:before="0" w:after="0"/>
              <w:rPr>
                <w:rFonts w:ascii="Corbel" w:hAnsi="Corbel" w:cs="Tahoma"/>
                <w:b w:val="0"/>
                <w:smallCaps w:val="0"/>
                <w:color w:val="auto"/>
                <w:szCs w:val="24"/>
                <w:lang w:val="en-GB" w:eastAsia="pl-PL"/>
              </w:rPr>
            </w:pPr>
          </w:p>
          <w:p w14:paraId="4947B7B6" w14:textId="77777777" w:rsidR="00366320" w:rsidRPr="00366320" w:rsidRDefault="00366320">
            <w:pPr>
              <w:pStyle w:val="Punktygwne"/>
              <w:spacing w:before="0" w:after="0"/>
              <w:rPr>
                <w:rFonts w:ascii="Corbel" w:hAnsi="Corbel" w:cs="Tahoma"/>
                <w:b w:val="0"/>
                <w:smallCaps w:val="0"/>
                <w:color w:val="auto"/>
                <w:szCs w:val="24"/>
                <w:lang w:val="en-GB" w:eastAsia="pl-PL"/>
              </w:rPr>
            </w:pPr>
          </w:p>
        </w:tc>
      </w:tr>
      <w:tr w:rsidR="00AA1FCD" w:rsidRPr="00366320"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5A1B97A8" w14:textId="0D184818" w:rsidR="00366320" w:rsidRDefault="00366320">
            <w:pPr>
              <w:pStyle w:val="Punktygwne"/>
              <w:spacing w:before="0" w:after="0"/>
              <w:rPr>
                <w:b w:val="0"/>
                <w:smallCaps w:val="0"/>
              </w:rPr>
            </w:pPr>
            <w:r>
              <w:rPr>
                <w:b w:val="0"/>
                <w:smallCaps w:val="0"/>
                <w:lang w:val="en-GB"/>
              </w:rPr>
              <w:t>4.</w:t>
            </w:r>
            <w:r w:rsidRPr="00366320">
              <w:rPr>
                <w:b w:val="0"/>
                <w:smallCaps w:val="0"/>
                <w:lang w:val="en-GB"/>
              </w:rPr>
              <w:t xml:space="preserve">Baily, M. N. (2025). </w:t>
            </w:r>
            <w:r w:rsidRPr="00366320">
              <w:rPr>
                <w:b w:val="0"/>
                <w:i/>
                <w:iCs/>
                <w:smallCaps w:val="0"/>
                <w:lang w:val="en-GB"/>
              </w:rPr>
              <w:t>AI in the Health Care Sector: Case Studies and Analysis</w:t>
            </w:r>
            <w:r w:rsidRPr="00366320">
              <w:rPr>
                <w:b w:val="0"/>
                <w:smallCaps w:val="0"/>
                <w:lang w:val="en-GB"/>
              </w:rPr>
              <w:t xml:space="preserve">. Brookings Institution. Retrieved from </w:t>
            </w:r>
            <w:hyperlink r:id="rId10" w:tgtFrame="_new" w:history="1">
              <w:r w:rsidRPr="00366320">
                <w:rPr>
                  <w:b w:val="0"/>
                  <w:smallCaps w:val="0"/>
                  <w:color w:val="0000FF"/>
                  <w:u w:val="single"/>
                  <w:lang w:val="en-GB"/>
                </w:rPr>
                <w:t>https://www.brookings.edu/wp-content/uploads/2025/04/20250401_CRM_BailyKane_AICaseStudies_HealthCare_FINAL.pdf</w:t>
              </w:r>
            </w:hyperlink>
          </w:p>
          <w:p w14:paraId="6B5A485B" w14:textId="77777777" w:rsidR="00366320" w:rsidRDefault="00366320">
            <w:pPr>
              <w:pStyle w:val="Punktygwne"/>
              <w:spacing w:before="0" w:after="0"/>
              <w:rPr>
                <w:rFonts w:ascii="Corbel" w:hAnsi="Corbel" w:cs="Tahoma"/>
                <w:b w:val="0"/>
                <w:smallCaps w:val="0"/>
                <w:color w:val="auto"/>
                <w:szCs w:val="24"/>
                <w:lang w:val="en-GB" w:eastAsia="pl-PL"/>
              </w:rPr>
            </w:pPr>
          </w:p>
          <w:p w14:paraId="4BADFABD" w14:textId="3833EAC5" w:rsidR="00366320" w:rsidRPr="004F2031" w:rsidRDefault="0036632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5.</w:t>
            </w:r>
            <w:r w:rsidRPr="00366320">
              <w:rPr>
                <w:rFonts w:ascii="Corbel" w:hAnsi="Corbel" w:cs="Tahoma"/>
                <w:b w:val="0"/>
                <w:smallCaps w:val="0"/>
                <w:color w:val="auto"/>
                <w:szCs w:val="24"/>
                <w:lang w:val="en-GB" w:eastAsia="pl-PL"/>
              </w:rPr>
              <w:t>Nuffield Council on Bioethics. (2018). AI in Healthcare and Research: Ethical Issues and Applications. Retrieved from https://www.nuffieldbioethics.org/wp-content/uploads/Artificial-Intelligence-AI-in-healthcare-and-research-1.pdf</w:t>
            </w:r>
          </w:p>
          <w:p w14:paraId="1596D26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A752134" w14:textId="33ADFC73" w:rsidR="004F2031" w:rsidRPr="004F2031" w:rsidRDefault="002D7484" w:rsidP="0099643B">
      <w:pPr>
        <w:pStyle w:val="Punktygwne"/>
        <w:spacing w:before="0" w:after="0"/>
        <w:ind w:left="360"/>
        <w:rPr>
          <w:rFonts w:ascii="Corbel" w:hAnsi="Corbel"/>
          <w:color w:val="auto"/>
          <w:lang w:val="en-US"/>
        </w:rPr>
      </w:pPr>
      <w:r w:rsidRPr="004F2031">
        <w:rPr>
          <w:rFonts w:ascii="Corbel" w:hAnsi="Corbel" w:cs="Tahoma"/>
          <w:b w:val="0"/>
          <w:smallCaps w:val="0"/>
          <w:color w:val="auto"/>
          <w:szCs w:val="24"/>
          <w:lang w:val="en-GB"/>
        </w:rPr>
        <w:t>Approved by the Head of the Department or an authorised person</w:t>
      </w:r>
    </w:p>
    <w:sectPr w:rsidR="004F2031" w:rsidRPr="004F2031">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C4C7" w14:textId="77777777" w:rsidR="00230FA6" w:rsidRDefault="00230FA6">
      <w:pPr>
        <w:spacing w:after="0" w:line="240" w:lineRule="auto"/>
      </w:pPr>
      <w:r>
        <w:separator/>
      </w:r>
    </w:p>
  </w:endnote>
  <w:endnote w:type="continuationSeparator" w:id="0">
    <w:p w14:paraId="33093B99" w14:textId="77777777" w:rsidR="00230FA6" w:rsidRDefault="0023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7419" w14:textId="77777777" w:rsidR="00230FA6" w:rsidRDefault="00230FA6">
      <w:pPr>
        <w:spacing w:after="0" w:line="240" w:lineRule="auto"/>
      </w:pPr>
      <w:r>
        <w:separator/>
      </w:r>
    </w:p>
  </w:footnote>
  <w:footnote w:type="continuationSeparator" w:id="0">
    <w:p w14:paraId="61106794" w14:textId="77777777" w:rsidR="00230FA6" w:rsidRDefault="00230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07978802">
    <w:abstractNumId w:val="0"/>
  </w:num>
  <w:num w:numId="2" w16cid:durableId="2101169996">
    <w:abstractNumId w:val="1"/>
  </w:num>
  <w:num w:numId="3" w16cid:durableId="1792236885">
    <w:abstractNumId w:val="5"/>
  </w:num>
  <w:num w:numId="4" w16cid:durableId="416442250">
    <w:abstractNumId w:val="4"/>
  </w:num>
  <w:num w:numId="5" w16cid:durableId="1935548200">
    <w:abstractNumId w:val="3"/>
  </w:num>
  <w:num w:numId="6" w16cid:durableId="1308782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104F3E"/>
    <w:rsid w:val="001C26A0"/>
    <w:rsid w:val="001C3AB5"/>
    <w:rsid w:val="00230FA6"/>
    <w:rsid w:val="0028211C"/>
    <w:rsid w:val="002D7484"/>
    <w:rsid w:val="00300BF3"/>
    <w:rsid w:val="00366320"/>
    <w:rsid w:val="003730E0"/>
    <w:rsid w:val="003D03D0"/>
    <w:rsid w:val="003E7104"/>
    <w:rsid w:val="0040702E"/>
    <w:rsid w:val="00484C19"/>
    <w:rsid w:val="004F2031"/>
    <w:rsid w:val="005E7A1D"/>
    <w:rsid w:val="005F3199"/>
    <w:rsid w:val="007104FE"/>
    <w:rsid w:val="007376A4"/>
    <w:rsid w:val="0075119D"/>
    <w:rsid w:val="00852EB5"/>
    <w:rsid w:val="00855AA1"/>
    <w:rsid w:val="008F5216"/>
    <w:rsid w:val="009920D1"/>
    <w:rsid w:val="0099643B"/>
    <w:rsid w:val="009C4A3E"/>
    <w:rsid w:val="009F7732"/>
    <w:rsid w:val="00A03D58"/>
    <w:rsid w:val="00AA1FCD"/>
    <w:rsid w:val="00B14E66"/>
    <w:rsid w:val="00E154AF"/>
    <w:rsid w:val="00EA249D"/>
    <w:rsid w:val="00EE0724"/>
    <w:rsid w:val="00F32FE2"/>
    <w:rsid w:val="00FA1C61"/>
    <w:rsid w:val="00FA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484C19"/>
    <w:rPr>
      <w:color w:val="0000FF"/>
      <w:u w:val="single"/>
    </w:rPr>
  </w:style>
  <w:style w:type="character" w:styleId="Nierozpoznanawzmianka">
    <w:name w:val="Unresolved Mention"/>
    <w:basedOn w:val="Domylnaczcionkaakapitu"/>
    <w:uiPriority w:val="99"/>
    <w:semiHidden/>
    <w:unhideWhenUsed/>
    <w:rsid w:val="00366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etic.br/media/docs/publicacoes/7/20241010191241/sectoral_studies_ai_in_healthcar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ookings.edu/wp-content/uploads/2025/04/20250401_CRM_BailyKane_AICaseStudies_HealthCare_FINAL.pdf?utm_source=chatgpt.com" TargetMode="External"/><Relationship Id="rId4" Type="http://schemas.openxmlformats.org/officeDocument/2006/relationships/settings" Target="settings.xml"/><Relationship Id="rId9" Type="http://schemas.openxmlformats.org/officeDocument/2006/relationships/hyperlink" Target="https://ca-hwi.org/public/uploads/pdfs/ArtificialIntelligenceinHealthcare.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815</Words>
  <Characters>5275</Characters>
  <Application>Microsoft Office Word</Application>
  <DocSecurity>0</DocSecurity>
  <Lines>249</Lines>
  <Paragraphs>139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wójcik</cp:lastModifiedBy>
  <cp:revision>3</cp:revision>
  <cp:lastPrinted>2024-01-10T10:21:00Z</cp:lastPrinted>
  <dcterms:created xsi:type="dcterms:W3CDTF">2026-03-02T16:03:00Z</dcterms:created>
  <dcterms:modified xsi:type="dcterms:W3CDTF">2026-03-07T20:44:00Z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2f8b257a-80f3-4941-aa6e-6e025a6a4f67</vt:lpwstr>
  </property>
</Properties>
</file>