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B499" w14:textId="77777777" w:rsidR="008437FF" w:rsidRDefault="008437FF" w:rsidP="008437F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F4C18D6" w14:textId="77777777" w:rsidR="008437FF" w:rsidRPr="008437FF" w:rsidRDefault="008437F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2561BFFB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20ECBF0" w14:textId="62FE50BA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359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034C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359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034C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CB2822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738662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D02CB6" w:rsidRPr="004E0F4F" w14:paraId="16797C0B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B347AB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16E18" w14:textId="77777777" w:rsidR="00D02CB6" w:rsidRPr="005579C8" w:rsidRDefault="00373C0B" w:rsidP="00A70A88">
            <w:pPr>
              <w:snapToGrid w:val="0"/>
              <w:rPr>
                <w:rFonts w:ascii="Corbel" w:hAnsi="Corbel"/>
                <w:caps/>
                <w:szCs w:val="24"/>
                <w:lang w:val="en-GB"/>
              </w:rPr>
            </w:pPr>
            <w:r w:rsidRPr="005579C8">
              <w:rPr>
                <w:rFonts w:ascii="Corbel" w:hAnsi="Corbel"/>
                <w:caps/>
                <w:szCs w:val="24"/>
                <w:lang w:val="en-GB"/>
              </w:rPr>
              <w:t>Introduction to logic and set theory</w:t>
            </w:r>
            <w:r w:rsidR="00D02CB6" w:rsidRPr="005579C8">
              <w:rPr>
                <w:rFonts w:ascii="Corbel" w:hAnsi="Corbel"/>
                <w:caps/>
                <w:szCs w:val="24"/>
                <w:lang w:val="en-GB"/>
              </w:rPr>
              <w:t xml:space="preserve"> </w:t>
            </w:r>
          </w:p>
        </w:tc>
      </w:tr>
      <w:tr w:rsidR="00D02CB6" w:rsidRPr="001C26A0" w14:paraId="49E0DD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8661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0A39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4E0F4F" w14:paraId="1266D9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409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9906F" w14:textId="5D146224" w:rsidR="00D02CB6" w:rsidRPr="004F2031" w:rsidRDefault="00BE6EF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BE6EF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0178DB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A424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BE3EB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2AC07EE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91C90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E98C84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79369E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0548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6BFBE" w14:textId="77777777" w:rsidR="00D02CB6" w:rsidRPr="004F2031" w:rsidRDefault="00B735B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 w14:paraId="31C7E1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DB92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5DC7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6AB795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B7968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D66A6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10E6247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001BC4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5E02E" w14:textId="77777777" w:rsidR="00D02CB6" w:rsidRPr="004F2031" w:rsidRDefault="00B735BE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1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Year, 1 semester</w:t>
            </w:r>
          </w:p>
        </w:tc>
      </w:tr>
      <w:tr w:rsidR="00D02CB6" w:rsidRPr="004F2031" w14:paraId="414DBC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11EEA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E4FF2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01C6E0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070F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3A6F25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404228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48EE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3ADD21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Ewa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Rak</w:t>
            </w:r>
            <w:proofErr w:type="spellEnd"/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2215C7D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089973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3B939" w14:textId="68A87BC8" w:rsidR="00D02CB6" w:rsidRPr="00A034C4" w:rsidRDefault="00A034C4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A034C4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Ewa </w:t>
            </w:r>
            <w:proofErr w:type="spellStart"/>
            <w:r w:rsidRPr="00A034C4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Rak</w:t>
            </w:r>
            <w:proofErr w:type="spellEnd"/>
            <w:r w:rsidRPr="00A034C4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38A0D1A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98F81A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372A28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D2383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EC44729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AEAE94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B056C1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42C8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2CE17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1F1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2FD38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2CFA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57C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E3B1E7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0C2C8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5B9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EDC8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F2A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4686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1E400A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17FAE" w14:textId="77777777"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C2CAC" w14:textId="77777777" w:rsidR="00AA1FCD" w:rsidRPr="004F2031" w:rsidRDefault="00AA1FCD" w:rsidP="00AE0B6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AA2FE" w14:textId="77777777" w:rsidR="00AA1FCD" w:rsidRPr="004F2031" w:rsidRDefault="00AE0B6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BC25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1A61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1403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E334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92E48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58A1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FBB5F" w14:textId="77777777" w:rsidR="00AA1FCD" w:rsidRPr="004F2031" w:rsidRDefault="00A253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2F9078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6A223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35E99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04EF9EE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20D70285" w14:textId="77777777" w:rsidR="00AA1FCD" w:rsidRPr="004F2031" w:rsidRDefault="003D6E9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579C8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38860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1F9C39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5D29EF9" w14:textId="77777777"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2C29AC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BBF57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E0F4F" w14:paraId="4E817C1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C429BA" w14:textId="77777777" w:rsidR="00AA1FCD" w:rsidRPr="00B735BE" w:rsidRDefault="00B735B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735BE">
              <w:rPr>
                <w:rFonts w:ascii="Corbel" w:hAnsi="Corbel"/>
                <w:b w:val="0"/>
                <w:lang w:val="en-US"/>
              </w:rPr>
              <w:t>The knowledge of elementary mathematics on the level of secondary school.</w:t>
            </w:r>
          </w:p>
        </w:tc>
      </w:tr>
    </w:tbl>
    <w:p w14:paraId="58826F0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EEB00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87ADEC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481BD9" w:rsidRPr="004E0F4F" w14:paraId="6C9E09C1" w14:textId="77777777" w:rsidTr="00481BD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1926B" w14:textId="77777777" w:rsidR="00481BD9" w:rsidRPr="004F2031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1B0511" w14:textId="77777777" w:rsidR="00481BD9" w:rsidRPr="00481BD9" w:rsidRDefault="00481BD9" w:rsidP="00B735BE">
            <w:pPr>
              <w:suppressAutoHyphens w:val="0"/>
              <w:spacing w:line="20" w:lineRule="atLeast"/>
              <w:rPr>
                <w:rFonts w:ascii="Corbel" w:hAnsi="Corbel"/>
                <w:bCs/>
                <w:szCs w:val="24"/>
                <w:lang w:val="en-GB"/>
              </w:rPr>
            </w:pPr>
            <w:r w:rsidRPr="00481BD9">
              <w:rPr>
                <w:rStyle w:val="alt-edited"/>
                <w:rFonts w:ascii="Corbel" w:hAnsi="Corbel"/>
                <w:szCs w:val="24"/>
                <w:lang w:val="en"/>
              </w:rPr>
              <w:t>Familiarization</w:t>
            </w:r>
            <w:r w:rsidRPr="00481BD9">
              <w:rPr>
                <w:rStyle w:val="tlid-translation"/>
                <w:rFonts w:ascii="Corbel" w:hAnsi="Corbel"/>
                <w:szCs w:val="24"/>
                <w:lang w:val="en"/>
              </w:rPr>
              <w:t xml:space="preserve"> with the concepts of sentential and predicate calculus.</w:t>
            </w:r>
            <w:r w:rsidRPr="00481BD9">
              <w:rPr>
                <w:rFonts w:ascii="Corbel" w:hAnsi="Corbel"/>
                <w:bCs/>
                <w:szCs w:val="24"/>
                <w:lang w:val="en-GB"/>
              </w:rPr>
              <w:t xml:space="preserve"> </w:t>
            </w:r>
          </w:p>
        </w:tc>
      </w:tr>
      <w:tr w:rsidR="00481BD9" w:rsidRPr="004E0F4F" w14:paraId="5083F3F3" w14:textId="77777777" w:rsidTr="00481BD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E9343E" w14:textId="77777777" w:rsidR="00481BD9" w:rsidRPr="004F2031" w:rsidRDefault="00481BD9" w:rsidP="001737E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85DD34" w14:textId="77777777" w:rsidR="00481BD9" w:rsidRPr="005579C8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481BD9">
              <w:rPr>
                <w:rStyle w:val="alt-edited"/>
                <w:rFonts w:ascii="Corbel" w:hAnsi="Corbel"/>
                <w:b w:val="0"/>
                <w:sz w:val="24"/>
                <w:szCs w:val="24"/>
                <w:lang w:val="en"/>
              </w:rPr>
              <w:t>Familiarization with the concept of mathematical induction and its applications.</w:t>
            </w:r>
          </w:p>
        </w:tc>
      </w:tr>
      <w:tr w:rsidR="00481BD9" w:rsidRPr="004E0F4F" w14:paraId="4159F915" w14:textId="77777777" w:rsidTr="00481BD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285DE" w14:textId="77777777" w:rsidR="00481BD9" w:rsidRPr="004F2031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4698A0" w14:textId="77777777" w:rsidR="00481BD9" w:rsidRPr="00481BD9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"/>
              </w:rPr>
            </w:pPr>
            <w:r w:rsidRPr="00481BD9">
              <w:rPr>
                <w:rStyle w:val="alt-edited"/>
                <w:rFonts w:ascii="Corbel" w:hAnsi="Corbel"/>
                <w:b w:val="0"/>
                <w:sz w:val="24"/>
                <w:szCs w:val="24"/>
                <w:lang w:val="en"/>
              </w:rPr>
              <w:t>Introduction to basic concepts and facts in the field of sets and relations theory.</w:t>
            </w:r>
          </w:p>
        </w:tc>
      </w:tr>
      <w:tr w:rsidR="00481BD9" w:rsidRPr="004E0F4F" w14:paraId="27BE7C54" w14:textId="77777777" w:rsidTr="00481BD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574FE" w14:textId="77777777" w:rsidR="00481BD9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56105C" w14:textId="77777777" w:rsidR="00481BD9" w:rsidRPr="00481BD9" w:rsidRDefault="00481BD9" w:rsidP="001737E6">
            <w:pPr>
              <w:pStyle w:val="Podpunkty"/>
              <w:spacing w:before="40" w:after="40"/>
              <w:ind w:left="0"/>
              <w:jc w:val="left"/>
              <w:rPr>
                <w:rStyle w:val="alt-edited"/>
                <w:rFonts w:ascii="Corbel" w:hAnsi="Corbel"/>
                <w:b w:val="0"/>
                <w:sz w:val="24"/>
                <w:szCs w:val="24"/>
                <w:lang w:val="en"/>
              </w:rPr>
            </w:pPr>
            <w:r w:rsidRPr="00481BD9">
              <w:rPr>
                <w:rStyle w:val="alt-edited"/>
                <w:rFonts w:ascii="Corbel" w:hAnsi="Corbel"/>
                <w:b w:val="0"/>
                <w:sz w:val="24"/>
                <w:szCs w:val="24"/>
                <w:lang w:val="en"/>
              </w:rPr>
              <w:t>Presentation of the basic concepts concerning equivalence equations and orders.</w:t>
            </w:r>
          </w:p>
        </w:tc>
      </w:tr>
    </w:tbl>
    <w:p w14:paraId="51B473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BA904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3CBC72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716290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8317DB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4E0F4F" w14:paraId="4D363C0F" w14:textId="77777777" w:rsidTr="00481BD9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08C7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A0A9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145671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109E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81BD9" w:rsidRPr="004F2031" w14:paraId="73BDE380" w14:textId="77777777" w:rsidTr="00481BD9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AAF493" w14:textId="77777777" w:rsidR="00481BD9" w:rsidRPr="004F2031" w:rsidRDefault="00481BD9" w:rsidP="00481B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57F2D" w14:textId="77777777" w:rsidR="00481BD9" w:rsidRPr="007C2A7F" w:rsidRDefault="00481BD9" w:rsidP="00481BD9">
            <w:pPr>
              <w:suppressAutoHyphens w:val="0"/>
              <w:spacing w:after="0" w:line="20" w:lineRule="atLeast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Understanding the role and importance of proof in mathematics, as well as the concept of the importance of assumptions in the proof.</w:t>
            </w:r>
          </w:p>
          <w:p w14:paraId="3F9C97AC" w14:textId="77777777" w:rsidR="00481BD9" w:rsidRPr="007C2A7F" w:rsidRDefault="00481BD9" w:rsidP="00481BD9">
            <w:pPr>
              <w:suppressAutoHyphens w:val="0"/>
              <w:spacing w:after="0" w:line="20" w:lineRule="atLeast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Knowledge of the concepts and methods of mathematical logic, set theory, relation calculus, and concepts concerning functions which are included in the fundamentals of various disciplines of mathematics.</w:t>
            </w:r>
          </w:p>
          <w:p w14:paraId="75736F68" w14:textId="77777777" w:rsidR="00481BD9" w:rsidRPr="007C2A7F" w:rsidRDefault="00481BD9" w:rsidP="00481BD9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 w:cstheme="minorHAnsi"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5E563" w14:textId="77777777" w:rsidR="00481BD9" w:rsidRPr="007C2A7F" w:rsidRDefault="00481BD9" w:rsidP="00481BD9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C2A7F">
              <w:rPr>
                <w:rFonts w:ascii="Corbel" w:hAnsi="Corbel" w:cstheme="minorHAnsi"/>
                <w:b w:val="0"/>
                <w:smallCaps w:val="0"/>
                <w:szCs w:val="24"/>
              </w:rPr>
              <w:t>KW_01, K_W02, K_U01, K_U02, K_U03, K_U04, K_U23, K_K02, K_K05</w:t>
            </w:r>
          </w:p>
        </w:tc>
      </w:tr>
      <w:tr w:rsidR="00481BD9" w:rsidRPr="004F2031" w14:paraId="0F3810AA" w14:textId="77777777" w:rsidTr="00481BD9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CD8BDA" w14:textId="77777777" w:rsidR="00481BD9" w:rsidRPr="004F2031" w:rsidRDefault="00481BD9" w:rsidP="00481B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7B08D5" w14:textId="77777777" w:rsidR="00481BD9" w:rsidRPr="007C2A7F" w:rsidRDefault="00481BD9" w:rsidP="00481BD9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Uses the propositional and predicate calculus; able to correctly use quantifiers also in everyday language.</w:t>
            </w:r>
          </w:p>
          <w:p w14:paraId="590E96AA" w14:textId="77777777" w:rsidR="00481BD9" w:rsidRPr="007C2A7F" w:rsidRDefault="00481BD9" w:rsidP="00481BD9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Able in an understandable way (in speech and in writing) to provide the correct mathematical reasoning, formulate theorems and definitions.</w:t>
            </w:r>
          </w:p>
          <w:p w14:paraId="1FB6D5F2" w14:textId="77777777" w:rsidR="00481BD9" w:rsidRPr="007C2A7F" w:rsidRDefault="00481BD9" w:rsidP="007C2A7F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Able to prove with the use of mathematical induction and to define functions and relations recursively</w:t>
            </w:r>
            <w:r w:rsidR="007C2A7F">
              <w:rPr>
                <w:rFonts w:ascii="Corbel" w:hAnsi="Corbel" w:cstheme="minorHAnsi"/>
                <w:szCs w:val="24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A64C1" w14:textId="77777777" w:rsidR="00481BD9" w:rsidRPr="007C2A7F" w:rsidRDefault="00481BD9" w:rsidP="00481BD9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C2A7F">
              <w:rPr>
                <w:rFonts w:ascii="Corbel" w:hAnsi="Corbel" w:cstheme="minorHAnsi"/>
                <w:b w:val="0"/>
                <w:smallCaps w:val="0"/>
                <w:szCs w:val="24"/>
              </w:rPr>
              <w:t>K_W04, K_U05,</w:t>
            </w:r>
          </w:p>
        </w:tc>
      </w:tr>
      <w:tr w:rsidR="00481BD9" w:rsidRPr="004F2031" w14:paraId="7CAD7803" w14:textId="77777777" w:rsidTr="00481BD9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E40759" w14:textId="77777777" w:rsidR="00481BD9" w:rsidRPr="004F2031" w:rsidRDefault="00481BD9" w:rsidP="00481B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AFAC702" w14:textId="77777777" w:rsidR="00481BD9" w:rsidRPr="007C2A7F" w:rsidRDefault="00481BD9" w:rsidP="00481BD9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Uses the language of set theory, interpreting issues in different areas of mathematics.</w:t>
            </w:r>
          </w:p>
          <w:p w14:paraId="31B1844D" w14:textId="77777777" w:rsidR="00481BD9" w:rsidRPr="007C2A7F" w:rsidRDefault="00481BD9" w:rsidP="00481BD9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Create new objects by constructing the quotient sets.</w:t>
            </w:r>
          </w:p>
          <w:p w14:paraId="022D3918" w14:textId="77777777" w:rsidR="00481BD9" w:rsidRPr="007C2A7F" w:rsidRDefault="00481BD9" w:rsidP="007C2A7F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Understand the issues associated with different types of infinity and orders in sets.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BF40D43" w14:textId="77777777" w:rsidR="00481BD9" w:rsidRPr="007C2A7F" w:rsidRDefault="00481BD9" w:rsidP="00481BD9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C2A7F">
              <w:rPr>
                <w:rFonts w:ascii="Corbel" w:hAnsi="Corbel" w:cstheme="minorHAnsi"/>
                <w:b w:val="0"/>
                <w:smallCaps w:val="0"/>
                <w:szCs w:val="24"/>
              </w:rPr>
              <w:t>K_W03, K_U06, K_K05</w:t>
            </w:r>
          </w:p>
        </w:tc>
      </w:tr>
    </w:tbl>
    <w:p w14:paraId="25E2168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D873A97" w14:textId="77777777" w:rsidR="00AA1FCD" w:rsidRPr="00AE0B6D" w:rsidRDefault="001C26A0" w:rsidP="00AE0B6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C38745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FB53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737E6" w:rsidRPr="004E0F4F" w14:paraId="590D621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D5358D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Propositional calculus. </w:t>
            </w:r>
          </w:p>
          <w:p w14:paraId="1A7468A6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Logical sentence. Chart of the propositional condition. Logical connectives. Tautologies. The rules of proof construction.</w:t>
            </w:r>
          </w:p>
          <w:p w14:paraId="7EDF56AF" w14:textId="77777777" w:rsidR="001737E6" w:rsidRPr="005579C8" w:rsidRDefault="001737E6" w:rsidP="001737E6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</w:p>
        </w:tc>
      </w:tr>
      <w:tr w:rsidR="001737E6" w:rsidRPr="004E0F4F" w14:paraId="496F53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7A247D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lastRenderedPageBreak/>
              <w:t xml:space="preserve">Predicate calculus. </w:t>
            </w:r>
          </w:p>
          <w:p w14:paraId="75D6B875" w14:textId="77777777" w:rsidR="001737E6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Tautologies of the predicate calculus. Examples of applications of tautologies.</w:t>
            </w:r>
          </w:p>
        </w:tc>
      </w:tr>
      <w:tr w:rsidR="001737E6" w:rsidRPr="0064673C" w14:paraId="31170E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EF67BE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Set theory. </w:t>
            </w:r>
          </w:p>
          <w:p w14:paraId="516BD6AA" w14:textId="77777777" w:rsidR="001737E6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Sets. Operations on sets. Generalized operations on sets.</w:t>
            </w:r>
          </w:p>
        </w:tc>
      </w:tr>
      <w:tr w:rsidR="00AA1FCD" w:rsidRPr="0064673C" w14:paraId="22F788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6B234" w14:textId="77777777" w:rsidR="007C2A7F" w:rsidRPr="007C2A7F" w:rsidRDefault="002D7484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7C2A7F" w:rsidRPr="007C2A7F">
              <w:rPr>
                <w:rFonts w:ascii="Corbel" w:hAnsi="Corbel"/>
                <w:lang w:val="en-US"/>
              </w:rPr>
              <w:t xml:space="preserve">Natural numbers. </w:t>
            </w:r>
          </w:p>
          <w:p w14:paraId="366F4C08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The </w:t>
            </w:r>
            <w:proofErr w:type="spellStart"/>
            <w:r w:rsidRPr="007C2A7F">
              <w:rPr>
                <w:rFonts w:ascii="Corbel" w:hAnsi="Corbel"/>
                <w:lang w:val="en-US"/>
              </w:rPr>
              <w:t>Peano</w:t>
            </w:r>
            <w:proofErr w:type="spellEnd"/>
            <w:r w:rsidRPr="007C2A7F">
              <w:rPr>
                <w:rFonts w:ascii="Corbel" w:hAnsi="Corbel"/>
                <w:lang w:val="en-US"/>
              </w:rPr>
              <w:t xml:space="preserve"> axioms. Mathematical Induction. Recursion.</w:t>
            </w:r>
          </w:p>
          <w:p w14:paraId="66C4B242" w14:textId="77777777" w:rsidR="00AA1FCD" w:rsidRPr="007C2A7F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1737E6" w:rsidRPr="004E0F4F" w14:paraId="4FF1C3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195F5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Relation calculus. </w:t>
            </w:r>
          </w:p>
          <w:p w14:paraId="28228915" w14:textId="77777777" w:rsidR="001737E6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The Cartesian product of sets. Relations. Operations on relations. Classification of relations.</w:t>
            </w:r>
          </w:p>
        </w:tc>
      </w:tr>
      <w:tr w:rsidR="007C2A7F" w:rsidRPr="004E0F4F" w14:paraId="2B6BBF4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5A2F3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Functions. </w:t>
            </w:r>
          </w:p>
          <w:p w14:paraId="6CA90683" w14:textId="77777777" w:rsidR="007C2A7F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Property of functions. Images and inverse images of sets of functions.</w:t>
            </w:r>
          </w:p>
        </w:tc>
      </w:tr>
      <w:tr w:rsidR="007C2A7F" w:rsidRPr="004E0F4F" w14:paraId="4AA15F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70CF1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Equivalence relations. </w:t>
            </w:r>
          </w:p>
          <w:p w14:paraId="40D87230" w14:textId="77777777" w:rsidR="007C2A7F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Equivalence relation. Class of abstraction and quotient set. The principle of abstraction. Constructions of sets with the use of equivalence relations.</w:t>
            </w:r>
          </w:p>
        </w:tc>
      </w:tr>
      <w:tr w:rsidR="007C2A7F" w:rsidRPr="0064673C" w14:paraId="3D3763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6DB74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Power of sets. </w:t>
            </w:r>
          </w:p>
          <w:p w14:paraId="527DBFE4" w14:textId="77777777" w:rsidR="007C2A7F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Finite and infinite sets. </w:t>
            </w:r>
            <w:proofErr w:type="spellStart"/>
            <w:r w:rsidRPr="007C2A7F">
              <w:rPr>
                <w:rFonts w:ascii="Corbel" w:hAnsi="Corbel"/>
                <w:lang w:val="en-US"/>
              </w:rPr>
              <w:t>Equinumerosity</w:t>
            </w:r>
            <w:proofErr w:type="spellEnd"/>
            <w:r w:rsidRPr="007C2A7F">
              <w:rPr>
                <w:rFonts w:ascii="Corbel" w:hAnsi="Corbel"/>
                <w:lang w:val="en-US"/>
              </w:rPr>
              <w:t xml:space="preserve"> of sets. Countable and uncountable sets. Cardinal numbers.</w:t>
            </w:r>
          </w:p>
        </w:tc>
      </w:tr>
      <w:tr w:rsidR="007C2A7F" w:rsidRPr="004E0F4F" w14:paraId="259580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40322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Orders in sets. </w:t>
            </w:r>
          </w:p>
          <w:p w14:paraId="61F8EC7E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Partial order. Linear order. Types of linear orders. </w:t>
            </w:r>
            <w:proofErr w:type="spellStart"/>
            <w:r w:rsidRPr="007C2A7F">
              <w:rPr>
                <w:rFonts w:ascii="Corbel" w:hAnsi="Corbel"/>
                <w:lang w:val="en-US"/>
              </w:rPr>
              <w:t>Kuratowski</w:t>
            </w:r>
            <w:proofErr w:type="spellEnd"/>
            <w:r w:rsidRPr="007C2A7F">
              <w:rPr>
                <w:rFonts w:ascii="Corbel" w:hAnsi="Corbel"/>
                <w:lang w:val="en-US"/>
              </w:rPr>
              <w:t>-Zorn's Lemma. The axiom of choice.</w:t>
            </w:r>
          </w:p>
        </w:tc>
      </w:tr>
    </w:tbl>
    <w:p w14:paraId="735C8538" w14:textId="77777777" w:rsidR="00AA1FCD" w:rsidRPr="0064673C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F6FB3E6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55507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2FC3A1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14CAC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58CA81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6018EF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97426D" w14:textId="77777777" w:rsidR="001737E6" w:rsidRPr="0064673C" w:rsidRDefault="00AE0B6D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t>Classe</w:t>
      </w:r>
      <w:r w:rsidR="001737E6" w:rsidRPr="0064673C">
        <w:rPr>
          <w:rFonts w:ascii="Corbel" w:hAnsi="Corbel"/>
          <w:b w:val="0"/>
          <w:bCs/>
          <w:szCs w:val="24"/>
          <w:lang w:val="en-GB"/>
        </w:rPr>
        <w:t>s: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40DC29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39FED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0F26D6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5ACB9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94190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D78425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59D5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68114C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07D74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AEB0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E83633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5DDA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5CFD9" w14:textId="77777777" w:rsidR="00AA1FCD" w:rsidRPr="0064673C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392CB" w14:textId="77777777" w:rsidR="00AA1FCD" w:rsidRPr="004F2031" w:rsidRDefault="003B60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AA1FCD" w:rsidRPr="004F2031" w14:paraId="28365D0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21D5C" w14:textId="77777777" w:rsidR="00AA1FCD" w:rsidRPr="004F2031" w:rsidRDefault="001737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D06E0" w14:textId="77777777" w:rsidR="00AA1FCD" w:rsidRPr="004F2031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3B601E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D788B" w14:textId="77777777" w:rsidR="00AA1FCD" w:rsidRPr="004F2031" w:rsidRDefault="003B601E" w:rsidP="003B60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1737E6" w:rsidRPr="004F2031" w14:paraId="290F3DB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C1BBA" w14:textId="77777777" w:rsidR="001737E6" w:rsidRPr="004F2031" w:rsidRDefault="001737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E09945" w14:textId="77777777" w:rsidR="001737E6" w:rsidRPr="004F2031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  <w:r w:rsidR="003B601E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4B8B7" w14:textId="77777777" w:rsidR="001737E6" w:rsidRPr="004F2031" w:rsidRDefault="003B60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48BF6B6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88F52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2FBF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DF82D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E0F4F" w14:paraId="19AD01C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F4F53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01930EAE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The examination of students' knowledge in </w:t>
            </w:r>
            <w:r w:rsidR="00AE0B6D">
              <w:rPr>
                <w:rFonts w:eastAsia="Times New Roman"/>
                <w:szCs w:val="24"/>
                <w:lang w:val="en-US" w:eastAsia="pl-PL"/>
              </w:rPr>
              <w:t>the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01A6CF81" w14:textId="77777777"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7773345E" w14:textId="77777777"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1D2B0C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8CAF4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B2DD40C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82C973D" w14:textId="77777777" w:rsidR="00AA1FCD" w:rsidRPr="004F2031" w:rsidRDefault="00AA1FCD" w:rsidP="008437F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8437FF" w:rsidRPr="004F2031" w14:paraId="7DA5032A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2F8EB" w14:textId="77777777" w:rsidR="008437FF" w:rsidRPr="004F2031" w:rsidRDefault="008437FF" w:rsidP="0078694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42FA8" w14:textId="77777777" w:rsidR="008437FF" w:rsidRPr="004F2031" w:rsidRDefault="008437FF" w:rsidP="0078694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8437FF" w:rsidRPr="004F2031" w14:paraId="2619E764" w14:textId="77777777" w:rsidTr="00786948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758DF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92B2C" w14:textId="77777777" w:rsidR="008437FF" w:rsidRPr="008437FF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 w:rsidRPr="008437FF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8437FF" w:rsidRPr="008437FF" w14:paraId="13E42798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EA7D7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9CC01" w14:textId="77777777" w:rsidR="008437FF" w:rsidRPr="008437FF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8437F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8437FF" w:rsidRPr="008437FF" w14:paraId="021C7155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FB4FB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ED4F4" w14:textId="77777777" w:rsidR="008437FF" w:rsidRPr="008437FF" w:rsidRDefault="008437FF" w:rsidP="008437F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8437F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8437FF" w:rsidRPr="004F2031" w14:paraId="67C07AB5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47172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0D24C" w14:textId="77777777" w:rsidR="008437FF" w:rsidRPr="008437FF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8437FF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8437FF" w:rsidRPr="008437FF" w14:paraId="1DDD7661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06E6F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97BC2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14:paraId="541323DB" w14:textId="77777777" w:rsidR="008437FF" w:rsidRPr="00104F3E" w:rsidRDefault="008437FF" w:rsidP="008437FF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D5377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617908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0FEE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BDF3E1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D501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37111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96C3B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44BC6F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CCB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8DE7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A1CA0A3" w14:textId="77777777" w:rsidR="00AA1FCD" w:rsidRPr="004F2031" w:rsidRDefault="00AA1FCD" w:rsidP="00AE0B6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4B5BF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113E8E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E0F4F" w14:paraId="1F1D9C0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A950C" w14:textId="77777777" w:rsidR="00AA1FCD" w:rsidRPr="0051116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1116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394D0DE" w14:textId="77777777" w:rsidR="003B601E" w:rsidRPr="00511168" w:rsidRDefault="00511168" w:rsidP="00511168">
            <w:pPr>
              <w:rPr>
                <w:rFonts w:ascii="Corbel" w:hAnsi="Corbel"/>
                <w:lang w:val="en-US"/>
              </w:rPr>
            </w:pPr>
            <w:r w:rsidRPr="00511168">
              <w:rPr>
                <w:rFonts w:ascii="Corbel" w:hAnsi="Corbel"/>
                <w:lang w:val="en-US"/>
              </w:rPr>
              <w:t xml:space="preserve">U. </w:t>
            </w:r>
            <w:proofErr w:type="spellStart"/>
            <w:r w:rsidRPr="00511168">
              <w:rPr>
                <w:rFonts w:ascii="Corbel" w:hAnsi="Corbel"/>
                <w:lang w:val="en-US"/>
              </w:rPr>
              <w:t>Daepp</w:t>
            </w:r>
            <w:proofErr w:type="spellEnd"/>
            <w:r w:rsidRPr="00511168">
              <w:rPr>
                <w:rFonts w:ascii="Corbel" w:hAnsi="Corbel"/>
                <w:lang w:val="en-US"/>
              </w:rPr>
              <w:t xml:space="preserve">, P. </w:t>
            </w:r>
            <w:proofErr w:type="spellStart"/>
            <w:r w:rsidRPr="00511168">
              <w:rPr>
                <w:rFonts w:ascii="Corbel" w:hAnsi="Corbel"/>
                <w:lang w:val="en-US"/>
              </w:rPr>
              <w:t>Gorkin</w:t>
            </w:r>
            <w:proofErr w:type="spellEnd"/>
            <w:r w:rsidRPr="00511168">
              <w:rPr>
                <w:rFonts w:ascii="Corbel" w:hAnsi="Corbel"/>
                <w:lang w:val="en-US"/>
              </w:rPr>
              <w:t>, Reading, Writing, and Proving. A Closer Look at Mathematics (Undergraduate Texts in Mathematics), Springer, Bucknell University, 2011.</w:t>
            </w:r>
          </w:p>
        </w:tc>
      </w:tr>
      <w:tr w:rsidR="00AA1FCD" w:rsidRPr="004E0F4F" w14:paraId="23C53A2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8A2E5" w14:textId="77777777" w:rsidR="00AA1FCD" w:rsidRPr="0051116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1116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68E14EA" w14:textId="77777777" w:rsidR="00AA1FCD" w:rsidRPr="00511168" w:rsidRDefault="00511168" w:rsidP="00511168">
            <w:pPr>
              <w:rPr>
                <w:rFonts w:ascii="Corbel" w:hAnsi="Corbel"/>
                <w:lang w:val="en-US"/>
              </w:rPr>
            </w:pPr>
            <w:r w:rsidRPr="00511168">
              <w:rPr>
                <w:rFonts w:ascii="Corbel" w:hAnsi="Corbel"/>
                <w:lang w:val="en-US"/>
              </w:rPr>
              <w:t xml:space="preserve">J. </w:t>
            </w:r>
            <w:proofErr w:type="spellStart"/>
            <w:r w:rsidRPr="00511168">
              <w:rPr>
                <w:rFonts w:ascii="Corbel" w:hAnsi="Corbel"/>
                <w:lang w:val="en-US"/>
              </w:rPr>
              <w:t>Słupecki</w:t>
            </w:r>
            <w:proofErr w:type="spellEnd"/>
            <w:r w:rsidRPr="00511168">
              <w:rPr>
                <w:rFonts w:ascii="Corbel" w:hAnsi="Corbel"/>
                <w:lang w:val="en-US"/>
              </w:rPr>
              <w:t>, L. Borkowski, Elements of Mathematical Logic and Set Theory, Pergamon Press, PWN-Polish Scientific Publishers, Warszawa, 1967.</w:t>
            </w:r>
          </w:p>
        </w:tc>
      </w:tr>
    </w:tbl>
    <w:p w14:paraId="605518F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ABFFBE" w14:textId="77777777" w:rsidR="00AE0B6D" w:rsidRDefault="00AE0B6D" w:rsidP="0051116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7EFC75" w14:textId="77777777" w:rsidR="00AE0B6D" w:rsidRPr="004F2031" w:rsidRDefault="00AE0B6D" w:rsidP="0051116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A7E594" w14:textId="77777777" w:rsidR="004F2031" w:rsidRPr="00AE0B6D" w:rsidRDefault="002D7484" w:rsidP="00AE0B6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Approved by the Head of the Department or an authorised person</w:t>
      </w:r>
    </w:p>
    <w:sectPr w:rsidR="004F2031" w:rsidRPr="00AE0B6D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1946" w14:textId="77777777" w:rsidR="00403AC6" w:rsidRDefault="00403AC6">
      <w:pPr>
        <w:spacing w:after="0" w:line="240" w:lineRule="auto"/>
      </w:pPr>
      <w:r>
        <w:separator/>
      </w:r>
    </w:p>
  </w:endnote>
  <w:endnote w:type="continuationSeparator" w:id="0">
    <w:p w14:paraId="08B40767" w14:textId="77777777" w:rsidR="00403AC6" w:rsidRDefault="0040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E737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437F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3F7A" w14:textId="77777777" w:rsidR="00403AC6" w:rsidRDefault="00403AC6">
      <w:pPr>
        <w:spacing w:after="0" w:line="240" w:lineRule="auto"/>
      </w:pPr>
      <w:r>
        <w:separator/>
      </w:r>
    </w:p>
  </w:footnote>
  <w:footnote w:type="continuationSeparator" w:id="0">
    <w:p w14:paraId="387FF305" w14:textId="77777777" w:rsidR="00403AC6" w:rsidRDefault="0040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349"/>
    <w:multiLevelType w:val="hybridMultilevel"/>
    <w:tmpl w:val="319CA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41A7"/>
    <w:multiLevelType w:val="hybridMultilevel"/>
    <w:tmpl w:val="3E50D012"/>
    <w:lvl w:ilvl="0" w:tplc="37C2987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C1F3F"/>
    <w:multiLevelType w:val="hybridMultilevel"/>
    <w:tmpl w:val="781A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737E6"/>
    <w:rsid w:val="00175B28"/>
    <w:rsid w:val="001A1F76"/>
    <w:rsid w:val="001C26A0"/>
    <w:rsid w:val="001D79FB"/>
    <w:rsid w:val="0028211C"/>
    <w:rsid w:val="002D7484"/>
    <w:rsid w:val="002E29B5"/>
    <w:rsid w:val="00300BF3"/>
    <w:rsid w:val="003730E0"/>
    <w:rsid w:val="00373C0B"/>
    <w:rsid w:val="003B601E"/>
    <w:rsid w:val="003D6E90"/>
    <w:rsid w:val="003E070F"/>
    <w:rsid w:val="00403AC6"/>
    <w:rsid w:val="00480A7C"/>
    <w:rsid w:val="00481BD9"/>
    <w:rsid w:val="004A29A3"/>
    <w:rsid w:val="004E0F4F"/>
    <w:rsid w:val="004F2031"/>
    <w:rsid w:val="00511168"/>
    <w:rsid w:val="005359D3"/>
    <w:rsid w:val="00547266"/>
    <w:rsid w:val="005579C8"/>
    <w:rsid w:val="005C5458"/>
    <w:rsid w:val="005F3199"/>
    <w:rsid w:val="0063178A"/>
    <w:rsid w:val="0064673C"/>
    <w:rsid w:val="007B2C2B"/>
    <w:rsid w:val="007C2A7F"/>
    <w:rsid w:val="008143DE"/>
    <w:rsid w:val="008437FF"/>
    <w:rsid w:val="008735E5"/>
    <w:rsid w:val="00940702"/>
    <w:rsid w:val="009F5E2F"/>
    <w:rsid w:val="009F7732"/>
    <w:rsid w:val="00A034C4"/>
    <w:rsid w:val="00A07FFB"/>
    <w:rsid w:val="00A2532A"/>
    <w:rsid w:val="00A956E3"/>
    <w:rsid w:val="00AA1FCD"/>
    <w:rsid w:val="00AA7267"/>
    <w:rsid w:val="00AC1346"/>
    <w:rsid w:val="00AE0B6D"/>
    <w:rsid w:val="00B000EA"/>
    <w:rsid w:val="00B735BE"/>
    <w:rsid w:val="00BE6EF9"/>
    <w:rsid w:val="00BF311E"/>
    <w:rsid w:val="00CA0620"/>
    <w:rsid w:val="00CF039E"/>
    <w:rsid w:val="00D02CB6"/>
    <w:rsid w:val="00E3437F"/>
    <w:rsid w:val="00E77A91"/>
    <w:rsid w:val="00EA249D"/>
    <w:rsid w:val="00F22A2C"/>
    <w:rsid w:val="00F32FE2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462A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B735BE"/>
  </w:style>
  <w:style w:type="character" w:customStyle="1" w:styleId="alt-edited">
    <w:name w:val="alt-edited"/>
    <w:basedOn w:val="Domylnaczcionkaakapitu"/>
    <w:rsid w:val="00B7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AC7CC-CF96-402F-8B2E-100852E5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17</cp:revision>
  <cp:lastPrinted>2017-07-04T06:31:00Z</cp:lastPrinted>
  <dcterms:created xsi:type="dcterms:W3CDTF">2020-02-27T16:25:00Z</dcterms:created>
  <dcterms:modified xsi:type="dcterms:W3CDTF">2026-02-09T13:57:00Z</dcterms:modified>
  <dc:language>pl-PL</dc:language>
</cp:coreProperties>
</file>