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>
        <w:rPr>
          <w:rFonts w:cs="Tahoma" w:ascii="Corbel" w:hAnsi="Corbel"/>
          <w:color w:val="auto"/>
          <w:sz w:val="20"/>
          <w:szCs w:val="20"/>
          <w:lang w:val="en-GB"/>
        </w:rPr>
        <w:t xml:space="preserve">Appendix No. 1.5 to the Resolution No. 7/2023 </w:t>
      </w:r>
    </w:p>
    <w:p>
      <w:pPr>
        <w:pStyle w:val="Normal"/>
        <w:spacing w:lineRule="auto" w:line="240" w:before="0" w:after="0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>
        <w:rPr>
          <w:rFonts w:cs="Tahoma" w:ascii="Corbel" w:hAnsi="Corbel"/>
          <w:color w:val="auto"/>
          <w:sz w:val="20"/>
          <w:szCs w:val="20"/>
          <w:lang w:val="en-GB"/>
        </w:rPr>
        <w:t>of the Rector of the University of Rzeszów</w:t>
      </w:r>
    </w:p>
    <w:p>
      <w:pPr>
        <w:pStyle w:val="Normal"/>
        <w:spacing w:lineRule="auto" w:line="240" w:before="0" w:after="0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smallCaps/>
          <w:color w:val="auto"/>
          <w:sz w:val="36"/>
          <w:lang w:val="en-GB"/>
        </w:rPr>
      </w:pPr>
      <w:r>
        <w:rPr>
          <w:rFonts w:cs="Tahoma" w:ascii="Corbel" w:hAnsi="Corbel"/>
          <w:b/>
          <w:smallCaps/>
          <w:color w:val="auto"/>
          <w:sz w:val="36"/>
          <w:lang w:val="en-GB"/>
        </w:rPr>
        <w:t>SYLLABUS</w:t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bCs/>
          <w:smallCaps/>
          <w:color w:val="auto"/>
          <w:szCs w:val="24"/>
          <w:lang w:val="en-GB"/>
        </w:rPr>
      </w:pPr>
      <w:r>
        <w:rPr>
          <w:rFonts w:cs="Tahoma" w:ascii="Corbel" w:hAnsi="Corbel"/>
          <w:b/>
          <w:bCs/>
          <w:smallCaps/>
          <w:color w:val="auto"/>
          <w:szCs w:val="24"/>
          <w:lang w:val="en-GB"/>
        </w:rPr>
        <w:t>regarding the qualification cycle FROM  2024 TO 2025</w:t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bCs/>
          <w:smallCaps/>
          <w:color w:val="auto"/>
          <w:szCs w:val="24"/>
          <w:lang w:val="en-GB"/>
        </w:rPr>
      </w:pPr>
      <w:r>
        <w:rPr>
          <w:rFonts w:cs="Tahoma" w:ascii="Corbel" w:hAnsi="Corbel"/>
          <w:b/>
          <w:bCs/>
          <w:smallCaps/>
          <w:color w:val="auto"/>
          <w:szCs w:val="24"/>
          <w:lang w:val="en-GB"/>
        </w:rPr>
        <w:t>Academic year ………..</w:t>
      </w:r>
    </w:p>
    <w:p>
      <w:pPr>
        <w:pStyle w:val="Normal"/>
        <w:tabs>
          <w:tab w:val="clear" w:pos="708"/>
          <w:tab w:val="left" w:pos="6405" w:leader="none"/>
        </w:tabs>
        <w:spacing w:lineRule="auto" w:line="240" w:before="0" w:after="0"/>
        <w:jc w:val="center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cs="Tahoma" w:ascii="Corbel" w:hAnsi="Corbel"/>
          <w:color w:val="auto"/>
          <w:szCs w:val="24"/>
          <w:lang w:val="en-US"/>
        </w:rPr>
        <w:t xml:space="preserve">1. Basic Course/Module Information </w:t>
      </w:r>
    </w:p>
    <w:tbl>
      <w:tblPr>
        <w:tblW w:w="9667" w:type="dxa"/>
        <w:jc w:val="left"/>
        <w:tblInd w:w="-3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15"/>
        <w:gridCol w:w="6851"/>
      </w:tblGrid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Colonialism and post-colonialism. Introduction to disc</w:t>
            </w:r>
            <w:r>
              <w:rPr>
                <w:rFonts w:cs="Corbel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ou</w:t>
            </w:r>
            <w:r>
              <w:rPr>
                <w:rFonts w:cs="Corbel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rse and its contemporary problems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College of Humanities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Institute of Philosophy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color w:val="auto"/>
                <w:sz w:val="24"/>
                <w:szCs w:val="24"/>
                <w:lang w:val="en-GB"/>
              </w:rPr>
              <w:t>MA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Functional (specialisation)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 w:val="false"/>
                <w:i w:val="false"/>
                <w:iCs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 w:val="false"/>
                <w:iCs w:val="false"/>
                <w:color w:val="auto"/>
                <w:sz w:val="24"/>
                <w:szCs w:val="24"/>
                <w:lang w:val="en-GB"/>
              </w:rPr>
              <w:t>I/II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elective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Adam Kubiak PhD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Adam Kubiak PhD</w:t>
            </w:r>
          </w:p>
        </w:tc>
      </w:tr>
    </w:tbl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rPr>
          <w:rFonts w:ascii="Corbel" w:hAnsi="Corbel" w:cs="Tahoma"/>
          <w:b w:val="false"/>
          <w:b w:val="false"/>
          <w:color w:val="auto"/>
          <w:sz w:val="24"/>
          <w:szCs w:val="24"/>
          <w:lang w:val="en-GB"/>
        </w:rPr>
      </w:pPr>
      <w:r>
        <w:rPr>
          <w:rFonts w:cs="Tahoma" w:ascii="Corbel" w:hAnsi="Corbel"/>
          <w:b w:val="false"/>
          <w:color w:val="auto"/>
          <w:sz w:val="24"/>
          <w:szCs w:val="24"/>
          <w:lang w:val="en-GB"/>
        </w:rPr>
        <w:t>* - as agreed at the faculty</w:t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tbl>
      <w:tblPr>
        <w:tblW w:w="9111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0"/>
        <w:gridCol w:w="959"/>
        <w:gridCol w:w="1021"/>
        <w:gridCol w:w="1262"/>
        <w:gridCol w:w="991"/>
        <w:gridCol w:w="990"/>
        <w:gridCol w:w="1235"/>
        <w:gridCol w:w="748"/>
        <w:gridCol w:w="824"/>
      </w:tblGrid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b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>
        <w:trPr>
          <w:trHeight w:val="453" w:hRule="atLeast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3</w:t>
            </w:r>
          </w:p>
        </w:tc>
      </w:tr>
    </w:tbl>
    <w:p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  <w:r>
        <w:rPr>
          <w:rFonts w:cs="Tahoma" w:ascii="Corbel" w:hAnsi="Corbel"/>
          <w:color w:val="auto"/>
          <w:sz w:val="24"/>
          <w:szCs w:val="24"/>
          <w:lang w:val="en-GB" w:eastAsia="en-US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US"/>
        </w:rPr>
        <w:t>1.2. Course delivery methods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 xml:space="preserve">- </w:t>
      </w:r>
      <w:r>
        <w:rPr>
          <w:rFonts w:cs="Tahoma" w:ascii="Corbel" w:hAnsi="Corbel"/>
          <w:b/>
          <w:bCs/>
          <w:caps w:val="false"/>
          <w:smallCaps w:val="false"/>
          <w:color w:val="auto"/>
          <w:szCs w:val="24"/>
          <w:u w:val="single"/>
          <w:lang w:val="en-US"/>
        </w:rPr>
        <w:t>conducted in a traditional way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- involving distance education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 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methods and techniques</w:t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1.3. Course/Module assessmen</w:t>
      </w:r>
      <w:r>
        <w:rPr>
          <w:rFonts w:cs="Tahoma" w:ascii="Corbel" w:hAnsi="Corbel"/>
          <w:bCs/>
          <w:caps w:val="false"/>
          <w:smallCaps w:val="false"/>
          <w:color w:val="auto"/>
          <w:szCs w:val="24"/>
          <w:lang w:val="en-GB"/>
        </w:rPr>
        <w:t xml:space="preserve">t 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 xml:space="preserve">(exam, </w:t>
      </w:r>
      <w:r>
        <w:rPr>
          <w:rFonts w:cs="Tahoma" w:ascii="Corbel" w:hAnsi="Corbel"/>
          <w:b/>
          <w:bCs/>
          <w:caps w:val="false"/>
          <w:smallCaps w:val="false"/>
          <w:color w:val="auto"/>
          <w:szCs w:val="24"/>
          <w:u w:val="single"/>
          <w:lang w:val="en-GB"/>
        </w:rPr>
        <w:t>pass with a grade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 xml:space="preserve">, pass without a grade)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 xml:space="preserve">2. Prerequisites </w:t>
      </w:r>
    </w:p>
    <w:tbl>
      <w:tblPr>
        <w:tblW w:w="9633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Familiarity with the general and cultural history.</w:t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3. Objectives, Learning Outcomes, Course Content, and Instructional Methods</w:t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odpunkty"/>
        <w:ind w:left="0" w:hanging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cs="Tahoma" w:ascii="Corbel" w:hAnsi="Corbel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0"/>
        <w:gridCol w:w="8962"/>
      </w:tblGrid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i/>
                <w:i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i/>
                <w:color w:val="auto"/>
                <w:sz w:val="24"/>
                <w:lang w:val="en-GB"/>
              </w:rPr>
              <w:t>Introduction to critical discourse on colonial and dependency relationships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le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lang w:val="en-GB"/>
              </w:rPr>
              <w:t>Familiarisation of students with the contemporary forms of postcolonial and dependency critique (cultural, digital, economical colonisation and dependency)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lang w:val="en-GB"/>
              </w:rPr>
              <w:t>Students’ preparation for active and aware participation in public discourse in said area.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cs="Tahoma" w:ascii="Corbel" w:hAnsi="Corbel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tbl>
      <w:tblPr>
        <w:tblW w:w="9526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1"/>
        <w:gridCol w:w="4602"/>
        <w:gridCol w:w="2553"/>
      </w:tblGrid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Understanding of complexity of the ‘cultural matter’ shaped by the colonial and dependencies.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KW_06, KW_10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Awareness about accidentality of ‘obvious and clear historical facts’, ability to point out structures of domination, privilege and submission including one’s own in the coloniality context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KU_02, KU_05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Understanding of nature of misuses of dependence and colonial discourse.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KU_11, KK_04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Normal"/>
        <w:rPr>
          <w:rFonts w:ascii="Corbel" w:hAnsi="Corbel" w:cs="Tahoma"/>
          <w:b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cs="Tahoma" w:ascii="Corbel" w:hAnsi="Corbel"/>
          <w:b/>
          <w:color w:val="auto"/>
          <w:szCs w:val="24"/>
          <w:lang w:val="en-GB"/>
        </w:rPr>
        <w:t>Course content  (to be completed by the coordinator)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Lectures</w:t>
      </w:r>
    </w:p>
    <w:p>
      <w:pPr>
        <w:pStyle w:val="ListParagraph"/>
        <w:spacing w:lineRule="auto" w:line="240" w:before="0" w:after="120"/>
        <w:ind w:left="1080" w:hanging="0"/>
        <w:contextualSpacing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tbl>
      <w:tblPr>
        <w:tblW w:w="7229" w:type="dxa"/>
        <w:jc w:val="left"/>
        <w:tblInd w:w="137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9"/>
      </w:tblGrid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708" w:hanging="708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Content outline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1. Cultural colonial and postcolonial heritage.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2. Colonialism as practice – building the Empire and living in the one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3. Postcolonial historical critique (</w:t>
            </w:r>
            <w:r>
              <w:rPr>
                <w:rFonts w:cs="Corbel" w:ascii="Garuda" w:hAnsi="Garuda"/>
                <w:color w:val="auto"/>
                <w:sz w:val="22"/>
                <w:szCs w:val="22"/>
                <w:lang w:val="en-GB"/>
              </w:rPr>
              <w:t xml:space="preserve"> Fanon, Said, Chakravorty-Spivak )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4. Adaptation, mimicra and subordinated resistance,, the rule of local elites (Bhabha, Kiossev)                                                                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5. (European) internal colonialism and colonialism without colonies (Polish Commonwealth, Russia, Osnam Empire and Austro-Hungary Empire.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6. Social colonialism and nesting colonialisms, practices ‘down to Earth’.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7. Misuses of postcolonial discourse – nationalists’ toolkit, re-imperialisation of social and political discourse (‘realism’, ‘geopolitics’) and neocolonialism in reality</w:t>
            </w:r>
          </w:p>
        </w:tc>
      </w:tr>
    </w:tbl>
    <w:p>
      <w:pPr>
        <w:pStyle w:val="Normal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Classes, laboratories, seminars, practical classes</w:t>
      </w:r>
    </w:p>
    <w:p>
      <w:pPr>
        <w:pStyle w:val="ListParagraph"/>
        <w:ind w:left="1080" w:hanging="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tbl>
      <w:tblPr>
        <w:tblW w:w="7229" w:type="dxa"/>
        <w:jc w:val="left"/>
        <w:tblInd w:w="137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9"/>
      </w:tblGrid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708" w:hanging="708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 Methods of Instruction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 w:val="20"/>
          <w:szCs w:val="20"/>
          <w:lang w:val="en-GB"/>
        </w:rPr>
        <w:t>e.g.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/>
          <w:bCs/>
          <w:i/>
          <w:caps w:val="false"/>
          <w:smallCaps w:val="false"/>
          <w:color w:val="auto"/>
          <w:sz w:val="20"/>
          <w:szCs w:val="20"/>
          <w:u w:val="single"/>
          <w:lang w:val="en-GB"/>
        </w:rPr>
        <w:t>Lecture: a problem-solving lecture/a lecture supported by a multimedia presentation</w:t>
      </w: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/ distance learning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Laboratory classes: designing and conducting experiments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 Assessment techniques and criteria </w:t>
      </w:r>
    </w:p>
    <w:p>
      <w:pPr>
        <w:pStyle w:val="Punktygwne"/>
        <w:spacing w:before="0" w:after="0"/>
        <w:ind w:left="36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4.1 Methods of evaluating learning outcomes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9099" w:type="dxa"/>
        <w:jc w:val="left"/>
        <w:tblInd w:w="52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7"/>
        <w:gridCol w:w="4956"/>
        <w:gridCol w:w="2196"/>
      </w:tblGrid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Learning outcome</w:t>
            </w:r>
          </w:p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4"/>
                <w:lang w:val="en-GB" w:eastAsia="pl-PL"/>
              </w:rPr>
              <w:t>LO-01-4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i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i/>
                <w:color w:val="auto"/>
                <w:szCs w:val="20"/>
                <w:lang w:val="en-GB" w:eastAsia="pl-PL"/>
              </w:rPr>
              <w:t>Active participation in class,  Passingthe tasks, final critical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  <w:t>L*</w:t>
            </w:r>
          </w:p>
        </w:tc>
      </w:tr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4.2 Course assessment criteria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9099" w:type="dxa"/>
        <w:jc w:val="left"/>
        <w:tblInd w:w="52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99"/>
      </w:tblGrid>
      <w:tr>
        <w:trPr/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Activity: 25%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Tasks: 25%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Final essay: 50%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Grade scale (normalised):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&lt;51% - ndst (F)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51-56 % - dst (D-)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57-64 % - dst+ (D)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65-70 % - db- (C)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71-80 % - db (B)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81-90 % - db+(B)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91-100% - bdb (A)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284" w:hanging="284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5. Total student workload needed to achieve the intended learning outcomes </w:t>
      </w:r>
    </w:p>
    <w:p>
      <w:pPr>
        <w:pStyle w:val="Punktygwne"/>
        <w:spacing w:before="0" w:after="0"/>
        <w:ind w:left="284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– 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number of hours and ECTS credits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8751" w:type="dxa"/>
        <w:jc w:val="left"/>
        <w:tblInd w:w="48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75"/>
        <w:gridCol w:w="4375"/>
      </w:tblGrid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>
        <w:trPr>
          <w:trHeight w:val="426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  <w:t>Course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eastAsia="pl-PL"/>
              </w:rPr>
              <w:t>30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  <w:t>5 and as necessary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  <w:t>70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105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3</w:t>
            </w:r>
          </w:p>
        </w:tc>
      </w:tr>
    </w:tbl>
    <w:p>
      <w:pPr>
        <w:pStyle w:val="Punktygwne"/>
        <w:spacing w:before="0" w:after="0"/>
        <w:ind w:firstLine="708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* One ECTS point corresponds to 25-30 hours of total student workload</w:t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6. Internships related to the course/module</w:t>
      </w:r>
    </w:p>
    <w:p>
      <w:pPr>
        <w:pStyle w:val="Punktygwne"/>
        <w:spacing w:before="0" w:after="0"/>
        <w:ind w:left="36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tbl>
      <w:tblPr>
        <w:tblW w:w="8005" w:type="dxa"/>
        <w:jc w:val="left"/>
        <w:tblInd w:w="35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56"/>
        <w:gridCol w:w="4148"/>
      </w:tblGrid>
      <w:tr>
        <w:trPr>
          <w:trHeight w:val="234" w:hRule="atLeast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Number of hours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  <w:tr>
        <w:trPr>
          <w:trHeight w:val="515" w:hRule="atLeast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ind w:left="72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tabs>
          <w:tab w:val="clear" w:pos="708"/>
          <w:tab w:val="left" w:pos="284" w:leader="none"/>
        </w:tabs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7. Instructional materials</w:t>
      </w:r>
    </w:p>
    <w:p>
      <w:pPr>
        <w:pStyle w:val="Punktygwne"/>
        <w:spacing w:before="0" w:after="0"/>
        <w:ind w:left="72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tbl>
      <w:tblPr>
        <w:tblW w:w="7992" w:type="dxa"/>
        <w:jc w:val="left"/>
        <w:tblInd w:w="35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92"/>
      </w:tblGrid>
      <w:tr>
        <w:trPr>
          <w:trHeight w:val="532" w:hRule="atLeast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Compulsory literature: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Times New Roman" w:ascii="Garuda" w:hAnsi="Garuda"/>
                <w:b w:val="false"/>
                <w:caps w:val="false"/>
                <w:smallCaps w:val="false"/>
                <w:sz w:val="20"/>
                <w:szCs w:val="20"/>
              </w:rPr>
              <w:t xml:space="preserve">Bakić-Hayden Milica, 1995, </w:t>
            </w:r>
            <w:r>
              <w:rPr>
                <w:rFonts w:cs="Times New Roman" w:ascii="Garuda" w:hAnsi="Garuda"/>
                <w:b w:val="false"/>
                <w:i/>
                <w:iCs/>
                <w:caps w:val="false"/>
                <w:smallCaps w:val="false"/>
                <w:sz w:val="20"/>
                <w:szCs w:val="20"/>
              </w:rPr>
              <w:t>Nesting Orientalisms: The Case of Former Yugoslavia</w:t>
            </w:r>
            <w:r>
              <w:rPr>
                <w:rFonts w:cs="Times New Roman" w:ascii="Garuda" w:hAnsi="Garuda"/>
                <w:b w:val="false"/>
                <w:caps w:val="false"/>
                <w:smallCaps w:val="false"/>
                <w:sz w:val="20"/>
                <w:szCs w:val="20"/>
              </w:rPr>
              <w:t>. „Slavic Review” 54 (4): 917–31.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Balibar E. (2009) Europe as Borderland, Environment and Planning D: Society and Space 27 (2) s. 190–215. doi:10.1068/d13008.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caps w:val="false"/>
                <w:smallCaps w:val="false"/>
                <w:sz w:val="20"/>
                <w:szCs w:val="20"/>
              </w:rPr>
              <w:t>Bhabha H. K (2010) Location of culture (any edition)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Bill S. (2014) Seeking the Authentic: Polish Culture and the Nature of Postcolonial Theory, NONsite.org, (online:) https://nonsite.org/seeking-the-authentic-polish-culture-and-the-nature-of-postcolonial-theory/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Etkind A. (2003)  Internal Colonization and Russian Cultural History, „Ulbandus”, 7, s. 17–25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Kiossev A. (1995) Notes on Self-colonising Cultures (w:) Ginev D., Sejersted Fr.,  Simeonova K. (red.) Cultural Aspects of the Modernisation Process, Oslo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Said, E. W. (1991) Orientalizm. (any edition)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Style w:val="StrongEmphasis"/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Zarycki T. (2014) Ideologies of Eastness in Central and Eastern Europe, Routledge, London 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</w:tr>
      <w:tr>
        <w:trPr>
          <w:trHeight w:val="532" w:hRule="atLeast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Bhabha Homi K, 1984,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Of Mimicry and Man: The Ambivalence of Colonial Discourse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, „October” 28, s. 125-133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Böröcz J. (2001),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Introduction: Empire and Coloniality in the "Eastern Enlargement” of the European Union.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[w:] Böröcz J, Kovács M. (red.)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, Empire's New Clothes. Unveiling EU Enlargement,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Holly Cottage: Central European Review, s. 4–5; dostępne też jako e-book: http://aei.pitt.edu/144/1/Empire.pdf (dostęp: 2017.01.20)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Böröcz J., 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From Comprador State to Auctioneer State: Property Change, Realignment, and Peripherialization in Post-state-socialist Central and Eastern Europe, 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Routlege, London 1999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 xml:space="preserve">Böröcz Jozsef, 2012,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>Hungary in the European Union: „Catching Up”, Forever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>, „Economic &amp; Political Weekly”, XLVII(23) s. 22–25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Buchowski Michał, 2006, 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The Specter of Orientalism in Europe: From Exotic Other to Stigmatized Brother.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 Anthropological Quarterly, 79 (3): 463-482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Delanty, G. (1997) Inventig Europe. Idea, Identity, Reality, St. Martin Press, NY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Etkind A. (2003)  Internal Colonization and Russian Cultural History, „Ulbandus”, 7, s. 17–25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Fanon Fr. Black skin, white masks (any edition)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Kiossev A. (1995) Notes on Self-colonising Cultures (w:) Ginev D., Sejersted Fr.,  Simeonova K. (red.) Cultural Aspects of the Modernisation Process, Oslo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Kiossev A. (2002) The Dark Intimacy: Maps, Identities, Acts of Identification, (w:) Bjelic D. I, Savic O. (red.) Balkan as Metaphor: Between Globalization and Fragmentation, MIT Press, bmw. DOI: 10.7551/mitpress/1508.001.0001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Kleberg L. (2006) In Search of Dracula or, Cultures in Dialogue, I. Brandell (red.), State Frontiers: Borders and Boundaries in the Middle East, I. B. Tauris, London pp. 187-198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Melegh A. (2006). On the East-West slope. Globalization, narration, racism and discources on Central and Eastern Europe,  CEU Press,  Budapest, New York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Moore David C, 2001,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Is the Post- in Postcolonial the Post- in Post-Soviet? Toward a Global Postcolonial Critique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, PMLA 116(1) s. 111-128 (online:) http://monumenttotransformation.org/atlas-of-transformation/html/p/postcolonial-post-soviet/is-the-post-in-postcolonial-the-post-in-post-soviet-toward-a-global-postcolonial-critique-david-chioni-moore.html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Mycock A. (2010) British Identity and the Legacy of Empire, Open Democracy (online:) https://www.opendemocracy.net/en/opendemocracyuk/british-identity-and-legacy-of-empire/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Nyman J. (2015) British Imaginings of a European Periphery: Roger Scruton, Michael Palin and Michael Booth in/on Finland, Journal of Postcolonial Writing, 51 (2), s. 144–157. doi:10.1080/17449855.2015.1011847.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Roy S. (2007) Beyond Belief: India and the Politics of Postcolonial Nationalism. Duke University Press, DOI:10.2307/j.ctv11smv98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 xml:space="preserve">Said E.W </w:t>
            </w: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>The clash of ignorance</w:t>
            </w: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>, The Nation 10.22.2001 [online: https://www.thenation.com/article/clash-ignorance/ ]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>
                <w:rStyle w:val="StrongEmphasis"/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Sztompka P. (1993) Civilizational Incompetence: The Trap of Post-Communist Societies, Zeitschrift für Soziologie, 22/2, s. 85-95  DOI: 10.1515/zfsoz-1993-0201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Terlouw C.P. ,1993, 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The Elusive Semiperiphery: A Critical Examination of the Concept Semiperiphery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, „International Journal of Comparative Sociology” Marzec, nr. 34 s. 87-102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Tlostanova Madina, 2012, 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Postsocialist ≠ postcolonial? On post-Soviet imaginary and global coloniality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, „Journal of Postcolonial Writing”,48/2, s. 130-142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Strong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Todorova M. (1994) The Balkans: From Discovery to Invention. Slavic Review, 53(2) s. 453-482 doi:10.2307/2501301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>Approved by the Head of the Department or an authorised person</w:t>
      </w:r>
    </w:p>
    <w:p>
      <w:pPr>
        <w:pStyle w:val="Normal"/>
        <w:rPr>
          <w:rFonts w:ascii="Corbel" w:hAnsi="Corbel"/>
          <w:color w:val="auto"/>
          <w:lang w:val="en-US"/>
        </w:rPr>
      </w:pPr>
      <w:r>
        <w:rPr>
          <w:rFonts w:ascii="Corbel" w:hAnsi="Corbel"/>
          <w:color w:val="auto"/>
          <w:lang w:val="en-US"/>
        </w:rPr>
      </w:r>
    </w:p>
    <w:p>
      <w:pPr>
        <w:pStyle w:val="Normal"/>
        <w:spacing w:before="0" w:after="200"/>
        <w:rPr>
          <w:rFonts w:ascii="Corbel" w:hAnsi="Corbel"/>
          <w:color w:val="auto"/>
          <w:lang w:val="en-US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rbel">
    <w:charset w:val="01"/>
    <w:family w:val="roman"/>
    <w:pitch w:val="variable"/>
  </w:font>
  <w:font w:name="Garuda">
    <w:altName w:val="angsana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310d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Footer"/>
    <w:uiPriority w:val="99"/>
    <w:qFormat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qFormat/>
    <w:rsid w:val="00b3310d"/>
    <w:rPr/>
  </w:style>
  <w:style w:type="character" w:styleId="TekstpodstawowyZnak" w:customStyle="1">
    <w:name w:val="Tekst podstawowy Znak"/>
    <w:basedOn w:val="DefaultParagraphFont"/>
    <w:link w:val="Tretekstu"/>
    <w:uiPriority w:val="99"/>
    <w:semiHidden/>
    <w:qFormat/>
    <w:rsid w:val="00b3310d"/>
    <w:rPr>
      <w:rFonts w:eastAsia="Calibri"/>
      <w:szCs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3ea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83ea7"/>
    <w:rPr>
      <w:rFonts w:eastAsia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83ea7"/>
    <w:rPr>
      <w:rFonts w:ascii="Tahoma" w:hAnsi="Tahoma" w:eastAsia="Calibri" w:cs="Tahoma"/>
      <w:sz w:val="16"/>
      <w:szCs w:val="16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Cytat">
    <w:name w:val="Cytat"/>
    <w:qFormat/>
    <w:rPr>
      <w:i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link w:val="TekstpodstawowyZnak"/>
    <w:uiPriority w:val="99"/>
    <w:semiHidden/>
    <w:unhideWhenUsed/>
    <w:qFormat/>
    <w:rsid w:val="00b3310d"/>
    <w:pPr>
      <w:spacing w:lineRule="auto" w:line="288" w:before="0" w:after="120"/>
    </w:pPr>
    <w:rPr/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spacing w:before="0" w:after="200"/>
      <w:ind w:left="720" w:hanging="0"/>
      <w:contextualSpacing/>
    </w:pPr>
    <w:rPr/>
  </w:style>
  <w:style w:type="paragraph" w:styleId="Footer">
    <w:name w:val="Footer"/>
    <w:basedOn w:val="Normal"/>
    <w:link w:val="StopkaZnak"/>
    <w:uiPriority w:val="99"/>
    <w:rsid w:val="00b331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unktygwne" w:customStyle="1">
    <w:name w:val="Punkty główne"/>
    <w:basedOn w:val="Normal"/>
    <w:qFormat/>
    <w:rsid w:val="00b3310d"/>
    <w:pPr>
      <w:spacing w:lineRule="auto" w:line="240" w:before="240" w:after="60"/>
    </w:pPr>
    <w:rPr>
      <w:b/>
      <w:smallCaps/>
    </w:rPr>
  </w:style>
  <w:style w:type="paragraph" w:styleId="Pytania" w:customStyle="1">
    <w:name w:val="Pytania"/>
    <w:basedOn w:val="Tretekstu"/>
    <w:qFormat/>
    <w:rsid w:val="00b3310d"/>
    <w:pPr>
      <w:tabs>
        <w:tab w:val="clear" w:pos="708"/>
        <w:tab w:val="left" w:pos="-5643" w:leader="none"/>
      </w:tabs>
      <w:overflowPunct w:val="true"/>
      <w:spacing w:lineRule="auto" w:line="240" w:before="40" w:after="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Odpowiedzi" w:customStyle="1">
    <w:name w:val="Odpowiedzi"/>
    <w:basedOn w:val="Normal"/>
    <w:qFormat/>
    <w:rsid w:val="00b3310d"/>
    <w:pPr>
      <w:spacing w:lineRule="auto" w:line="240" w:before="40" w:after="40"/>
    </w:pPr>
    <w:rPr>
      <w:b/>
      <w:color w:val="000000"/>
      <w:sz w:val="20"/>
    </w:rPr>
  </w:style>
  <w:style w:type="paragraph" w:styleId="Podpunkty" w:customStyle="1">
    <w:name w:val="Podpunkty"/>
    <w:basedOn w:val="Tretekstu"/>
    <w:qFormat/>
    <w:rsid w:val="00b3310d"/>
    <w:pPr>
      <w:tabs>
        <w:tab w:val="clear" w:pos="708"/>
        <w:tab w:val="left" w:pos="-5814" w:leader="none"/>
      </w:tabs>
      <w:overflowPunct w:val="true"/>
      <w:spacing w:lineRule="auto" w:line="240" w:before="0" w:after="0"/>
      <w:ind w:left="360" w:hanging="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styleId="Cele" w:customStyle="1">
    <w:name w:val="Cele"/>
    <w:basedOn w:val="Tretekstu"/>
    <w:qFormat/>
    <w:rsid w:val="00b3310d"/>
    <w:pPr>
      <w:tabs>
        <w:tab w:val="clear" w:pos="708"/>
        <w:tab w:val="left" w:pos="-5814" w:leader="none"/>
        <w:tab w:val="left" w:pos="720" w:leader="none"/>
      </w:tabs>
      <w:overflowPunct w:val="true"/>
      <w:spacing w:lineRule="auto" w:line="240" w:before="120" w:after="0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Nagwkitablic" w:customStyle="1">
    <w:name w:val="Nagłówki tablic"/>
    <w:basedOn w:val="Tretekstu"/>
    <w:uiPriority w:val="99"/>
    <w:qFormat/>
    <w:rsid w:val="00b3310d"/>
    <w:pPr/>
    <w:rPr/>
  </w:style>
  <w:style w:type="paragraph" w:styleId="Centralniewrubryce" w:customStyle="1">
    <w:name w:val="centralnie w rubryce"/>
    <w:basedOn w:val="Normal"/>
    <w:qFormat/>
    <w:rsid w:val="00b3310d"/>
    <w:pPr>
      <w:tabs>
        <w:tab w:val="clear" w:pos="708"/>
        <w:tab w:val="left" w:pos="-5814" w:leader="none"/>
      </w:tabs>
      <w:overflowPunct w:val="true"/>
      <w:spacing w:lineRule="auto" w:line="240" w:before="40" w:after="40"/>
      <w:jc w:val="center"/>
    </w:pPr>
    <w:rPr>
      <w:rFonts w:eastAsia="Times New Roman"/>
      <w:sz w:val="20"/>
      <w:szCs w:val="20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83ea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783ea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83e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3310d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LibreOffice/7.3.7.2$Linux_X86_64 LibreOffice_project/30$Build-2</Application>
  <AppVersion>15.0000</AppVersion>
  <Pages>7</Pages>
  <Words>1235</Words>
  <Characters>7907</Characters>
  <CharactersWithSpaces>9405</CharactersWithSpaces>
  <Paragraphs>165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2024-01-10T10:24:00Z</dcterms:created>
  <dc:creator>User</dc:creator>
  <dc:description/>
  <dc:language>pl-PL</dc:language>
  <cp:lastModifiedBy/>
  <cp:lastPrinted>2024-01-10T10:21:00Z</cp:lastPrinted>
  <dcterms:modified xsi:type="dcterms:W3CDTF">2024-02-27T19:32:47Z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