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5AC" w:rsidRPr="009315AC" w:rsidRDefault="009315AC" w:rsidP="009315AC">
      <w:pPr>
        <w:pStyle w:val="NormalnyWeb"/>
        <w:jc w:val="right"/>
        <w:rPr>
          <w:color w:val="000000"/>
          <w:sz w:val="20"/>
          <w:szCs w:val="20"/>
        </w:rPr>
      </w:pPr>
      <w:r w:rsidRPr="009315AC">
        <w:rPr>
          <w:color w:val="000000"/>
          <w:sz w:val="20"/>
          <w:szCs w:val="20"/>
        </w:rPr>
        <w:t>Appendix No. 1.5 to the Resolution No. 7/2023</w:t>
      </w:r>
      <w:r>
        <w:rPr>
          <w:color w:val="000000"/>
          <w:sz w:val="20"/>
          <w:szCs w:val="20"/>
        </w:rPr>
        <w:br/>
      </w:r>
      <w:r w:rsidRPr="009315AC">
        <w:rPr>
          <w:color w:val="000000"/>
          <w:sz w:val="20"/>
          <w:szCs w:val="20"/>
        </w:rPr>
        <w:t xml:space="preserve">of the </w:t>
      </w:r>
      <w:proofErr w:type="spellStart"/>
      <w:r w:rsidRPr="009315AC">
        <w:rPr>
          <w:color w:val="000000"/>
          <w:sz w:val="20"/>
          <w:szCs w:val="20"/>
        </w:rPr>
        <w:t>Rector</w:t>
      </w:r>
      <w:proofErr w:type="spellEnd"/>
      <w:r w:rsidRPr="009315AC">
        <w:rPr>
          <w:color w:val="000000"/>
          <w:sz w:val="20"/>
          <w:szCs w:val="20"/>
        </w:rPr>
        <w:t xml:space="preserve"> of the University of Rzeszów</w:t>
      </w:r>
    </w:p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9315A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9315A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2024</w:t>
      </w:r>
    </w:p>
    <w:p w:rsidR="009315AC" w:rsidRPr="004F2031" w:rsidRDefault="009315AC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2024/2025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Care and therapeutic education in chronic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desease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including: diabetes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Medical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Nursing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– cycle studies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Pr="00436E9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1</w:t>
            </w:r>
            <w:r w:rsidRPr="00436E9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Advanced nursing practice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 w:rsidP="00436E96">
            <w:pPr>
              <w:pStyle w:val="Odpowiedzi"/>
              <w:jc w:val="center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MD Magdalena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Rękas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MD Magdalena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Rękas</w:t>
            </w:r>
            <w:proofErr w:type="spellEnd"/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  <w:r w:rsidR="00436E96" w:rsidRPr="00436E96">
        <w:rPr>
          <w:rFonts w:ascii="Corbel" w:hAnsi="Corbel" w:cs="Tahoma"/>
          <w:b w:val="0"/>
          <w:color w:val="auto"/>
          <w:sz w:val="24"/>
          <w:szCs w:val="24"/>
          <w:lang w:val="en-GB"/>
        </w:rPr>
        <w:t xml:space="preserve">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B45FF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36E9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B45FF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5FF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315AC" w:rsidRPr="004F2031" w:rsidRDefault="009315AC" w:rsidP="009315AC">
            <w:pPr>
              <w:pStyle w:val="Punktygwne"/>
              <w:spacing w:before="40" w:after="40"/>
              <w:rPr>
                <w:rFonts w:ascii="Corbel" w:eastAsia="Corbel" w:hAnsi="Corbel" w:cs="Corbel"/>
                <w:b w:val="0"/>
                <w:sz w:val="28"/>
                <w:szCs w:val="28"/>
                <w:lang w:val="en-GB"/>
              </w:rPr>
            </w:pPr>
            <w:r w:rsidRPr="054E75BD">
              <w:rPr>
                <w:rFonts w:ascii="Corbel" w:eastAsia="Corbel" w:hAnsi="Corbel" w:cs="Corbel"/>
                <w:b w:val="0"/>
                <w:sz w:val="28"/>
                <w:szCs w:val="28"/>
                <w:lang w:val="en-GB"/>
              </w:rPr>
              <w:t>Knowledge of anatomy, human physiology, pedagogy, psychology, internal medicine, fundamentals of nursing, health education, physical examination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:rsidTr="00D67F4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67F4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D7484"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448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provide students with knowledge about diabetes treatment methods and preparing the patient for self - care</w:t>
            </w:r>
          </w:p>
        </w:tc>
      </w:tr>
      <w:tr w:rsidR="00AA1FCD" w:rsidRPr="005F3199" w:rsidTr="00D67F4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67F4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="0034481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3448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Develop skills in identifying diabetes risk factors, providing pharmacotherapy and dietary management in patients with diabetes and using modern technology for glycaemic monitoring and insulin administration</w:t>
            </w:r>
          </w:p>
        </w:tc>
      </w:tr>
      <w:tr w:rsidR="00344813" w:rsidRPr="005F3199" w:rsidTr="00D67F4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44813" w:rsidRDefault="00D67F4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="0034481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44813" w:rsidRDefault="003448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Preparing students to work as part od a diabetes therapeutic team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1"/>
        <w:gridCol w:w="2551"/>
      </w:tblGrid>
      <w:tr w:rsidR="00AA1FCD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_01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Principles and methods of therapeutic education of the patient, his/ her family and carer on self – care and self – care in diabetes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Diabeties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pathomechanism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complication and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pronciples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coordination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therapeutic education activities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can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34481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Use current knowledge to provide a high level of therapeutic education to diabetic patients, their families and carers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44813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34481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_04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Plan and coordinate the care of a patient with diabetes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44813" w:rsidRPr="004F2031" w:rsidTr="003448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</w:t>
            </w:r>
            <w:r w:rsidR="0034481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_05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Motivate the diabetic patient to manage his/her disease and to cooperate in the treatment process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3448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Epidemiological situation of diabetes in Poland, Europe and worldwide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Risc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factors, criteria for diagnosis, symptoms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af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diabetes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481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Etiological classification of diabetes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proofErr w:type="spellStart"/>
            <w:r w:rsidR="00344813">
              <w:rPr>
                <w:rFonts w:ascii="Corbel" w:hAnsi="Corbel" w:cs="Tahoma"/>
                <w:color w:val="auto"/>
                <w:szCs w:val="24"/>
                <w:lang w:val="en-GB"/>
              </w:rPr>
              <w:t>Diebetes</w:t>
            </w:r>
            <w:proofErr w:type="spellEnd"/>
            <w:r w:rsidR="0034481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treatment goals, criteria for metabolic control</w:t>
            </w:r>
          </w:p>
        </w:tc>
      </w:tr>
      <w:tr w:rsidR="00344813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34481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Management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od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diabetes – pharmacotherapy, diet, physical examination</w:t>
            </w:r>
          </w:p>
        </w:tc>
      </w:tr>
      <w:tr w:rsidR="00344813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Acute complication of diabetes – causes, symptoms,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magagement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– g h</w:t>
            </w:r>
          </w:p>
        </w:tc>
      </w:tr>
      <w:tr w:rsidR="00344813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Nnutrition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 diabetes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mellutus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– balancing meals, with an exchanger system- 2,5 h</w:t>
            </w:r>
          </w:p>
        </w:tc>
      </w:tr>
      <w:tr w:rsidR="00344813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4813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Chronic complications in diabetes – methods of prevention and treatment 2h</w:t>
            </w:r>
          </w:p>
        </w:tc>
      </w:tr>
      <w:tr w:rsidR="009F7F37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Modern technologies for insulin administration and glycaemic monitoring: glucometers, apps, insulin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pomps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, glycaemic monitoring system (CGMS, FSM) -2,5 h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  <w:bookmarkStart w:id="0" w:name="_GoBack"/>
      <w:bookmarkEnd w:id="0"/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Pharmacokinetics of insulins, calculation of insulin dose,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aite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models of administration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Meal balancing in an exchanger system –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excganger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tables,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glycaemicindex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glycaemic load, preparation of sample meals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7F3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Principles of self – monitoring in diabetes: frequency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od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blood glucose measurement, how to keep a self – monitoring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Modern technologies for glycaemic monitoring and insulin delivery: </w:t>
            </w:r>
            <w:proofErr w:type="spellStart"/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>FreeStyle</w:t>
            </w:r>
            <w:proofErr w:type="spellEnd"/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Libra, </w:t>
            </w:r>
            <w:proofErr w:type="spellStart"/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>DexCom</w:t>
            </w:r>
            <w:proofErr w:type="spellEnd"/>
            <w:r w:rsidR="009F7F37">
              <w:rPr>
                <w:rFonts w:ascii="Corbel" w:hAnsi="Corbel" w:cs="Tahoma"/>
                <w:color w:val="auto"/>
                <w:szCs w:val="24"/>
                <w:lang w:val="en-GB"/>
              </w:rPr>
              <w:t>, Guardian, infusion sets pump therapy: Quick Set, Sure T- insertion and replacement of the infusion set – 2 hrs</w:t>
            </w:r>
          </w:p>
        </w:tc>
      </w:tr>
    </w:tbl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60"/>
        <w:gridCol w:w="2194"/>
      </w:tblGrid>
      <w:tr w:rsidR="00AA1FCD" w:rsidRPr="004F2031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9F7F3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="002D748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single – choice test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2D748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-o2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single – choice test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9F7F37" w:rsidRPr="004F2031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9F7F3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CLASSROOM OBSERVATION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9F7F37" w:rsidRPr="004F2031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9F7F3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_04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CLASSROOM OBSERVATION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9F7F37" w:rsidRPr="004F2031" w:rsidTr="009F7F37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D67F4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9F7F3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_05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CLASSROOM OBSERVATION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7F37" w:rsidRPr="004F2031" w:rsidRDefault="009F7F3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9F7F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Attendace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at all forms of classes is compulsory </w:t>
            </w:r>
          </w:p>
          <w:p w:rsidR="009F7F37" w:rsidRDefault="009F7F3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5FF6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Lecture: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 on the basis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af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attendance and a credit in the form of a single – choice test  , in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witch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knowledge </w:t>
            </w:r>
            <w:proofErr w:type="spellStart"/>
            <w:r w:rsid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transferres</w:t>
            </w:r>
            <w:proofErr w:type="spellEnd"/>
            <w:r w:rsid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during the lectures is verified. Points obtained from the test are converted into percentages </w:t>
            </w:r>
          </w:p>
          <w:p w:rsidR="00B45FF6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order to obtain a pass mark, you must at least 60% on the knowledge test</w:t>
            </w:r>
          </w:p>
          <w:p w:rsidR="00B45FF6" w:rsidRDefault="00B45FF6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B45FF6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Exercise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:rsidR="00B45FF6" w:rsidRPr="00B45FF6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Credit on the basis of attendance and a pass in the form of a single – choice test. Points obtained from the test are converted into </w:t>
            </w:r>
            <w:proofErr w:type="spellStart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precentages</w:t>
            </w:r>
            <w:proofErr w:type="spellEnd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to </w:t>
            </w:r>
            <w:proofErr w:type="spellStart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witch</w:t>
            </w:r>
            <w:proofErr w:type="spellEnd"/>
            <w:r w:rsidRPr="00B45FF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marks correspond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D67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67F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D67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45F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06E" w:rsidRDefault="00EC206E">
      <w:pPr>
        <w:spacing w:after="0" w:line="240" w:lineRule="auto"/>
      </w:pPr>
      <w:r>
        <w:separator/>
      </w:r>
    </w:p>
  </w:endnote>
  <w:endnote w:type="continuationSeparator" w:id="0">
    <w:p w:rsidR="00EC206E" w:rsidRDefault="00EC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06E" w:rsidRDefault="00EC206E">
      <w:pPr>
        <w:spacing w:after="0" w:line="240" w:lineRule="auto"/>
      </w:pPr>
      <w:r>
        <w:separator/>
      </w:r>
    </w:p>
  </w:footnote>
  <w:footnote w:type="continuationSeparator" w:id="0">
    <w:p w:rsidR="00EC206E" w:rsidRDefault="00EC2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57AEC"/>
    <w:rsid w:val="001C26A0"/>
    <w:rsid w:val="0028211C"/>
    <w:rsid w:val="002D7484"/>
    <w:rsid w:val="002F7147"/>
    <w:rsid w:val="00300BF3"/>
    <w:rsid w:val="00344813"/>
    <w:rsid w:val="003730E0"/>
    <w:rsid w:val="00436E96"/>
    <w:rsid w:val="004F2031"/>
    <w:rsid w:val="00547266"/>
    <w:rsid w:val="005F3199"/>
    <w:rsid w:val="0091099F"/>
    <w:rsid w:val="009315AC"/>
    <w:rsid w:val="009F7732"/>
    <w:rsid w:val="009F7F37"/>
    <w:rsid w:val="00A07FFB"/>
    <w:rsid w:val="00AA1FCD"/>
    <w:rsid w:val="00B45FF6"/>
    <w:rsid w:val="00D67F46"/>
    <w:rsid w:val="00EA249D"/>
    <w:rsid w:val="00EC206E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CA0D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315AC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EC45-BBD7-4D01-8FFD-FC2AE0C3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2017-07-04T06:31:00Z</cp:lastPrinted>
  <dcterms:created xsi:type="dcterms:W3CDTF">2024-02-12T07:28:00Z</dcterms:created>
  <dcterms:modified xsi:type="dcterms:W3CDTF">2024-02-12T07:28:00Z</dcterms:modified>
  <dc:language>pl-PL</dc:language>
</cp:coreProperties>
</file>