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BFEB" w14:textId="77777777" w:rsidR="00AF0F99" w:rsidRDefault="00AF0F99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14:paraId="6857860A" w14:textId="77777777" w:rsidR="00AF0F99" w:rsidRDefault="00000000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14:paraId="00BE2E83" w14:textId="77777777" w:rsidR="00AF0F99" w:rsidRDefault="00000000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</w:rPr>
      </w:pPr>
      <w:r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 202</w:t>
      </w:r>
      <w:r>
        <w:rPr>
          <w:rFonts w:ascii="Corbel" w:hAnsi="Corbel" w:cs="Corbel"/>
          <w:b/>
          <w:bCs/>
          <w:smallCaps/>
          <w:color w:val="auto"/>
        </w:rPr>
        <w:t>4</w:t>
      </w:r>
      <w:r>
        <w:rPr>
          <w:rFonts w:ascii="Corbel" w:hAnsi="Corbel" w:cs="Corbel"/>
          <w:b/>
          <w:bCs/>
          <w:smallCaps/>
          <w:color w:val="auto"/>
          <w:lang w:val="en-GB"/>
        </w:rPr>
        <w:t>TO 202</w:t>
      </w:r>
      <w:r>
        <w:rPr>
          <w:rFonts w:ascii="Corbel" w:hAnsi="Corbel" w:cs="Corbel"/>
          <w:b/>
          <w:bCs/>
          <w:smallCaps/>
          <w:color w:val="auto"/>
        </w:rPr>
        <w:t>5</w:t>
      </w:r>
    </w:p>
    <w:p w14:paraId="1B0B1B41" w14:textId="77777777" w:rsidR="00AF0F99" w:rsidRDefault="00AF0F99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14:paraId="142140EB" w14:textId="77777777" w:rsidR="00AF0F99" w:rsidRDefault="00000000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F0F99" w14:paraId="5F5A6475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5AC42E1B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329A2E1" w14:textId="1699942B" w:rsidR="00AF0F99" w:rsidRDefault="00000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T</w:t>
            </w:r>
            <w:r w:rsidR="007A63F4">
              <w:rPr>
                <w:rFonts w:ascii="Corbel" w:hAnsi="Corbel" w:cs="Corbel"/>
                <w:b/>
                <w:bCs/>
                <w:color w:val="000000"/>
                <w:lang w:eastAsia="pl-PL"/>
              </w:rPr>
              <w:t>ECHNICAL</w:t>
            </w: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 xml:space="preserve"> </w:t>
            </w:r>
            <w:r w:rsidR="007A63F4">
              <w:rPr>
                <w:rFonts w:ascii="Corbel" w:hAnsi="Corbel" w:cs="Corbel"/>
                <w:b/>
                <w:bCs/>
                <w:color w:val="000000"/>
                <w:lang w:eastAsia="pl-PL"/>
              </w:rPr>
              <w:t>METROLOGY</w:t>
            </w:r>
          </w:p>
        </w:tc>
      </w:tr>
      <w:tr w:rsidR="00AF0F99" w14:paraId="38A7323B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29CCCABA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089FC77" w14:textId="77777777" w:rsidR="00AF0F99" w:rsidRDefault="00AF0F99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F0F99" w14:paraId="1A407B07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013EC27A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5FB768E8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F0F99" w14:paraId="4905240C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6BC8C51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A5FD1EB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AF0F99" w14:paraId="39EC990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6544CDFA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1B9EE60F" w14:textId="77777777" w:rsidR="00AF0F99" w:rsidRDefault="00000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AF0F99" w14:paraId="41D8C985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44B86C20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218F0BF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F0F99" w14:paraId="0073B4E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4B7D027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0AB94409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F0F99" w14:paraId="0F58C2E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71F0057D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200F8B1E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F0F99" w14:paraId="235D01E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5B3A2349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60687BAA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AF0F99" w14:paraId="6371FEC3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421F9A6B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5173D2FC" w14:textId="2310AC3B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AF0F99" w14:paraId="23C6D7C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27476A4A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9C55E7D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F0F99" w14:paraId="09AC411C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1E5186A7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8A76A78" w14:textId="338F24F1" w:rsidR="00AF0F99" w:rsidRDefault="000E2C71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</w:t>
            </w:r>
          </w:p>
        </w:tc>
      </w:tr>
      <w:tr w:rsidR="00AF0F99" w14:paraId="18814C5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04A7589" w14:textId="77777777" w:rsidR="00AF0F99" w:rsidRDefault="00000000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38BE29C" w14:textId="77777777" w:rsidR="00AF0F99" w:rsidRDefault="00000000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14:paraId="335AA55C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378688A6" w14:textId="77777777" w:rsidR="00AF0F99" w:rsidRDefault="00000000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14:paraId="3F35140F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724F4F6C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67A6E97A" w14:textId="77777777" w:rsidR="00AF0F99" w:rsidRDefault="00000000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957E848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7"/>
        <w:gridCol w:w="954"/>
        <w:gridCol w:w="988"/>
        <w:gridCol w:w="1015"/>
        <w:gridCol w:w="953"/>
        <w:gridCol w:w="990"/>
        <w:gridCol w:w="980"/>
        <w:gridCol w:w="1218"/>
        <w:gridCol w:w="747"/>
        <w:gridCol w:w="819"/>
      </w:tblGrid>
      <w:tr w:rsidR="00AF0F99" w14:paraId="0DF7E5E7" w14:textId="77777777"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0C76C868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3F304BD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5D09A106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55733F44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414EF69C" w14:textId="77777777" w:rsidR="00AF0F99" w:rsidRDefault="00000000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0D578F86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329BAC7" w14:textId="77777777" w:rsidR="00AF0F99" w:rsidRDefault="00AF0F99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22EF5FDA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543CF5E7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41B2723D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75D56766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14:paraId="16EC9AB6" w14:textId="77777777" w:rsidR="00AF0F99" w:rsidRDefault="00000000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F0F99" w14:paraId="55A4BA35" w14:textId="77777777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7A3B81B7" w14:textId="77777777" w:rsidR="00AF0F99" w:rsidRDefault="00000000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57EC4F87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1FB3C63C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4EC8BD9E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061F3DBA" w14:textId="77777777" w:rsidR="00AF0F99" w:rsidRDefault="00000000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778FCE8D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62F3EA16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4268395D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336D89CA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14:paraId="0C4BDE88" w14:textId="77777777" w:rsidR="00AF0F99" w:rsidRDefault="00000000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2B8862F0" w14:textId="77777777" w:rsidR="00AF0F99" w:rsidRDefault="00AF0F99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14:paraId="2A48694E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6FCA031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>1.2. Course delivery methods</w:t>
      </w:r>
    </w:p>
    <w:p w14:paraId="149A3CE3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14:paraId="7C1E9612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Contact methods and techniques and distance education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14:paraId="3C7026ED" w14:textId="77777777" w:rsidR="00AF0F99" w:rsidRDefault="00AF0F99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14:paraId="35922BA3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1.3. Course/Module assessment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14:paraId="43A0E860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/>
          <w:b w:val="0"/>
          <w:bCs w:val="0"/>
          <w:smallCaps w:val="0"/>
          <w:color w:val="auto"/>
          <w:lang w:val="en-GB"/>
        </w:rPr>
        <w:t>pass with a grade</w:t>
      </w:r>
    </w:p>
    <w:p w14:paraId="0EFF94C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7DFA5679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07D4602A" w14:textId="77777777" w:rsidR="00AF0F99" w:rsidRDefault="00000000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31"/>
      </w:tblGrid>
      <w:tr w:rsidR="00AF0F99" w14:paraId="522C31EF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7979D6A3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lastRenderedPageBreak/>
              <w:t>Basic knowledge of technical drawing. He knows the concepts, laws and principles of physics and mathematics.</w:t>
            </w:r>
          </w:p>
        </w:tc>
      </w:tr>
      <w:tr w:rsidR="00AF0F99" w14:paraId="6C595F1D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04848E72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perform mathematical operations to solve given tasks.</w:t>
            </w:r>
          </w:p>
        </w:tc>
      </w:tr>
    </w:tbl>
    <w:p w14:paraId="3BA2C21D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6DFD9FA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5E20688" w14:textId="77777777" w:rsidR="00AF0F99" w:rsidRDefault="00000000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 Objectives, Learning Outcomes, Course Content, and Instructional Methods</w:t>
      </w:r>
    </w:p>
    <w:p w14:paraId="3B2172D6" w14:textId="77777777" w:rsidR="00AF0F99" w:rsidRDefault="00AF0F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14:paraId="0D3F5702" w14:textId="77777777" w:rsidR="00AF0F99" w:rsidRDefault="00000000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3.1. </w:t>
      </w:r>
      <w:r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F0F99" w14:paraId="57BF435D" w14:textId="77777777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14:paraId="51F9A458" w14:textId="77777777" w:rsidR="00AF0F99" w:rsidRDefault="00000000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14:paraId="71229BC8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the student with the knowledge in the field of technical metrology of geometric quantities.</w:t>
            </w:r>
            <w:r>
              <w:rPr>
                <w:lang w:val="en-GB"/>
              </w:rPr>
              <w:t xml:space="preserve">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Getting to know the method of measuring quantities and non-electric and the principles of measuring the results.</w:t>
            </w:r>
          </w:p>
        </w:tc>
      </w:tr>
      <w:tr w:rsidR="00AF0F99" w14:paraId="2FC5209F" w14:textId="77777777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14:paraId="5F881C6D" w14:textId="77777777" w:rsidR="00AF0F99" w:rsidRDefault="00000000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14:paraId="03B7730B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Acquiring the ability to use measuring instruments.</w:t>
            </w:r>
          </w:p>
        </w:tc>
      </w:tr>
    </w:tbl>
    <w:p w14:paraId="388153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546834A8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CB906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21362F39" w14:textId="77777777" w:rsidR="00AF0F99" w:rsidRDefault="00000000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3.2. Course/Module Learning Outcomes  (to be completed by the coordinator)</w:t>
      </w:r>
    </w:p>
    <w:p w14:paraId="36BE66D7" w14:textId="77777777" w:rsidR="00AF0F99" w:rsidRDefault="00AF0F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14:paraId="417C04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F0F99" w14:paraId="3A371279" w14:textId="77777777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14:paraId="4DC0882D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14:paraId="6E35141D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14:paraId="0551A0B6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14:paraId="278F297B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AF0F99" w14:paraId="26BF28D6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6DCC8E09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5B71E68E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14:paraId="3BA6B605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has the knowledge that allows you to navigate at the level of the method, setting tools for inspecting the volume of production related to production. Classifies measurement errors.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05A1AEE5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AF0F99" w14:paraId="27A2A595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0E8E6293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07686A29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14:paraId="4BBD68AE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set up a measurement system using dedicated measuring instruments, as well as an environment of virtual measuring instruments.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3C65C77C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AF0F99" w14:paraId="6690CC61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25B70E30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7AA7FEBB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SOCIAL COMPETENCES: </w:t>
            </w:r>
          </w:p>
          <w:p w14:paraId="19E44E16" w14:textId="77777777" w:rsidR="00AF0F99" w:rsidRDefault="00000000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can define priorities for the implementation of tasks, and 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66946919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14:paraId="5BFD9F7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2BDABC12" w14:textId="77777777" w:rsidR="00AF0F99" w:rsidRDefault="00000000">
      <w:pPr>
        <w:rPr>
          <w:rFonts w:ascii="Corbel" w:hAnsi="Corbel" w:cs="Corbel"/>
          <w:b/>
          <w:bCs/>
          <w:color w:val="auto"/>
          <w:lang w:val="en-GB"/>
        </w:rPr>
      </w:pPr>
      <w:r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14:paraId="016DC859" w14:textId="77777777" w:rsidR="00AF0F99" w:rsidRDefault="00000000">
      <w:pPr>
        <w:rPr>
          <w:rFonts w:ascii="Corbel" w:hAnsi="Corbel" w:cs="Corbel"/>
          <w:color w:val="auto"/>
        </w:rPr>
      </w:pPr>
      <w:r>
        <w:rPr>
          <w:rFonts w:ascii="Corbel" w:hAnsi="Corbel" w:cs="Corbel"/>
          <w:color w:val="auto"/>
        </w:rPr>
        <w:t>L</w:t>
      </w:r>
      <w:proofErr w:type="spellStart"/>
      <w:r>
        <w:rPr>
          <w:rFonts w:ascii="Corbel" w:hAnsi="Corbel" w:cs="Corbel"/>
          <w:color w:val="auto"/>
          <w:lang w:val="en-GB"/>
        </w:rPr>
        <w:t>aboratories</w:t>
      </w:r>
      <w:proofErr w:type="spellEnd"/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F0F99" w14:paraId="3455896F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6BABAE95" w14:textId="77777777" w:rsidR="00AF0F99" w:rsidRDefault="0000000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AF0F99" w14:paraId="48FA7FE1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0863DB7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Classification of measuring instruments. Measurements of hole diameters as well as roundness and cylindricity deviations.</w:t>
            </w:r>
          </w:p>
        </w:tc>
      </w:tr>
      <w:tr w:rsidR="00AF0F99" w14:paraId="619CE817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4D08B1E1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Measurements of shaft diameters and deviations of roundness and cylindricity.</w:t>
            </w:r>
          </w:p>
        </w:tc>
      </w:tr>
      <w:tr w:rsidR="00AF0F99" w14:paraId="73AD1B30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B80B503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 of threads, angles and arcs</w:t>
            </w:r>
          </w:p>
        </w:tc>
      </w:tr>
      <w:tr w:rsidR="00AF0F99" w14:paraId="353E6977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2F8FE3E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DC voltage measurement</w:t>
            </w:r>
          </w:p>
        </w:tc>
      </w:tr>
      <w:tr w:rsidR="00AF0F99" w14:paraId="3972C235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3660C503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lastRenderedPageBreak/>
              <w:t>Resistance measurement</w:t>
            </w:r>
          </w:p>
        </w:tc>
      </w:tr>
      <w:tr w:rsidR="00AF0F99" w14:paraId="17AA7733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029134FD" w14:textId="77777777" w:rsidR="00AF0F99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Oscilloscope</w:t>
            </w:r>
          </w:p>
        </w:tc>
      </w:tr>
    </w:tbl>
    <w:p w14:paraId="01AB963B" w14:textId="77777777" w:rsidR="00AF0F99" w:rsidRDefault="00AF0F99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14:paraId="2EAF107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0D17F743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Methods of Instruction</w:t>
      </w:r>
    </w:p>
    <w:p w14:paraId="6B756EC6" w14:textId="77777777" w:rsidR="00AF0F99" w:rsidRDefault="00AF0F99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14:paraId="13278CEE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LABORATORY – run in a traditional way: 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DISCUSSION.</w:t>
      </w:r>
    </w:p>
    <w:p w14:paraId="6F56489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5C2CE483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41474D08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Assessment techniques and criteria </w:t>
      </w:r>
    </w:p>
    <w:p w14:paraId="676304C5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14:paraId="5CBAE3BD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14:paraId="08BFB244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3D267DB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F0F99" w14:paraId="63D9DE2C" w14:textId="77777777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14:paraId="08B0E8D7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14:paraId="05E1250D" w14:textId="77777777" w:rsidR="00AF0F99" w:rsidRDefault="00AF0F99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14:paraId="295705E4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14:paraId="0A89CF14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AF0F99" w14:paraId="19F3588D" w14:textId="77777777"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382D28C2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37816E19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DURING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  <w:t xml:space="preserve"> LABORATORIES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7B6983D4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AF0F99" w14:paraId="5EEC87BD" w14:textId="77777777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2798C881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2B50C7F1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5513428A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AF0F99" w14:paraId="59B66178" w14:textId="77777777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3320552C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7A7047F5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40856D14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14:paraId="44C6243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0673F5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13F6011E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Course assessment criteria </w:t>
      </w:r>
    </w:p>
    <w:p w14:paraId="5F958FD3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F0F99" w14:paraId="3D89A9D0" w14:textId="77777777">
        <w:tc>
          <w:tcPr>
            <w:tcW w:w="9244" w:type="dxa"/>
            <w:shd w:val="clear" w:color="auto" w:fill="FFFFFF"/>
            <w:tcMar>
              <w:left w:w="103" w:type="dxa"/>
            </w:tcMar>
          </w:tcPr>
          <w:p w14:paraId="07BB7524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Laboratory: positive evaluation of tests and assessment of homework (reports) and activity during classes.</w:t>
            </w:r>
          </w:p>
        </w:tc>
      </w:tr>
    </w:tbl>
    <w:p w14:paraId="6544723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DDDB5A5" w14:textId="77777777" w:rsidR="00AF0F99" w:rsidRDefault="00000000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14:paraId="0D8E2761" w14:textId="77777777" w:rsidR="00AF0F99" w:rsidRDefault="00000000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– number of hours and ECTS credits </w:t>
      </w:r>
    </w:p>
    <w:p w14:paraId="21895CB4" w14:textId="77777777" w:rsidR="00AF0F99" w:rsidRDefault="00000000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14:paraId="2DB61C2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F0F99" w14:paraId="7640F0DB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E6348A1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01E62C5F" w14:textId="77777777" w:rsidR="00AF0F99" w:rsidRDefault="00000000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AF0F99" w14:paraId="15295505" w14:textId="77777777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464F22E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Scheduled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course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contact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1FAB996B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30</w:t>
            </w:r>
          </w:p>
        </w:tc>
      </w:tr>
      <w:tr w:rsidR="00AF0F99" w14:paraId="617FB46C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DAF6EAA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E356564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10</w:t>
            </w:r>
          </w:p>
        </w:tc>
      </w:tr>
      <w:tr w:rsidR="00AF0F99" w14:paraId="02091BF5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B398040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7FA2277" w14:textId="03800FDA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8</w:t>
            </w:r>
            <w:r w:rsidR="003019E2"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5</w:t>
            </w:r>
          </w:p>
        </w:tc>
      </w:tr>
      <w:tr w:rsidR="00AF0F99" w14:paraId="0065830E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282289F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65D3275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125</w:t>
            </w:r>
          </w:p>
        </w:tc>
      </w:tr>
      <w:tr w:rsidR="00AF0F99" w14:paraId="615EEE8F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51616DAD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1B96B87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14:paraId="11F2DFF5" w14:textId="77777777" w:rsidR="00AF0F99" w:rsidRDefault="00000000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14:paraId="2D868515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1CAC509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199D9D0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4E9D26E0" w14:textId="77777777" w:rsidR="00AF0F99" w:rsidRDefault="00000000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6. Internships related to the course/module</w:t>
      </w:r>
    </w:p>
    <w:p w14:paraId="7DE92E59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F0F99" w14:paraId="595072DB" w14:textId="77777777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75A3F767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14:paraId="2E5719FD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5E8CC438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AF0F99" w14:paraId="5C60007E" w14:textId="77777777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7E532594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56D59FCB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14:paraId="69FFC221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13C75C75" w14:textId="77777777" w:rsidR="00AF0F99" w:rsidRDefault="00AF0F99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14:paraId="6232C0A1" w14:textId="77777777" w:rsidR="00AF0F99" w:rsidRDefault="00000000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7. Instructional materials</w:t>
      </w:r>
    </w:p>
    <w:p w14:paraId="5014CF4E" w14:textId="77777777" w:rsidR="00AF0F99" w:rsidRDefault="00AF0F99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F0F99" w14:paraId="084E4483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4961D5FA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Recommended reading list: </w:t>
            </w:r>
          </w:p>
          <w:p w14:paraId="495AAE36" w14:textId="77777777" w:rsidR="00AF0F99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Krawczyk M.: Metrologia i kontrola jakości.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OWPRz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. Rzeszów, 1995 - pozycja dostępna u prowadzącego zajęcia</w:t>
            </w:r>
          </w:p>
          <w:p w14:paraId="36DA3804" w14:textId="6D61C4AC" w:rsidR="00AF0F99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Chwaleba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A., Poniński M., Siedlecki A.: Metrologia elektryczna.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Wydawnictw</w:t>
            </w:r>
            <w:r w:rsidR="000B7265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o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Naukowo-Techniczne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, Warszawa, 2014</w:t>
            </w:r>
          </w:p>
          <w:p w14:paraId="6CA3C898" w14:textId="77777777" w:rsidR="00AF0F99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Rylski 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Wojturski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J.: Metrologia elektryczna.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OWPRz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. Rzeszów 2013 - pozycja dostępna u prowadzącego zajęcia</w:t>
            </w:r>
          </w:p>
          <w:p w14:paraId="62535292" w14:textId="77777777" w:rsidR="00AF0F99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Białas S.: Metrologia techniczna z podstawami tolerowania wielkości geometrycznych dla mechaników</w:t>
            </w:r>
          </w:p>
          <w:p w14:paraId="3193A5D9" w14:textId="77777777" w:rsidR="00AF0F99" w:rsidRDefault="00AF0F99">
            <w:pPr>
              <w:pStyle w:val="Punktygwne"/>
              <w:spacing w:before="0" w:after="0"/>
              <w:ind w:left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</w:p>
        </w:tc>
      </w:tr>
      <w:tr w:rsidR="00AF0F99" w14:paraId="7D4C7BBE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3DA6FE6D" w14:textId="77777777" w:rsidR="00AF0F99" w:rsidRDefault="00000000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Complementary reading: Materials sent by the teacher during the classes.</w:t>
            </w:r>
          </w:p>
          <w:p w14:paraId="4A7B7536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14:paraId="7A343423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3FC11654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6D8278D8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4162D8A0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81D4A2B" w14:textId="77777777" w:rsidR="00AF0F99" w:rsidRDefault="00000000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Approved by the Head of the Department or an authorised person</w:t>
      </w:r>
    </w:p>
    <w:p w14:paraId="66B31781" w14:textId="77777777" w:rsidR="00AF0F99" w:rsidRDefault="00AF0F99">
      <w:pPr>
        <w:rPr>
          <w:rFonts w:ascii="Corbel" w:hAnsi="Corbel" w:cs="Corbel"/>
          <w:color w:val="auto"/>
          <w:lang w:val="en-US"/>
        </w:rPr>
      </w:pPr>
    </w:p>
    <w:p w14:paraId="7F999F6E" w14:textId="77777777" w:rsidR="00AF0F99" w:rsidRDefault="00AF0F99">
      <w:pPr>
        <w:rPr>
          <w:rFonts w:ascii="Corbel" w:hAnsi="Corbel" w:cs="Corbel"/>
          <w:color w:val="auto"/>
          <w:lang w:val="en-US"/>
        </w:rPr>
      </w:pPr>
    </w:p>
    <w:sectPr w:rsidR="00AF0F99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7C99" w14:textId="77777777" w:rsidR="00B62524" w:rsidRDefault="00B62524">
      <w:pPr>
        <w:spacing w:line="240" w:lineRule="auto"/>
      </w:pPr>
      <w:r>
        <w:separator/>
      </w:r>
    </w:p>
  </w:endnote>
  <w:endnote w:type="continuationSeparator" w:id="0">
    <w:p w14:paraId="6A59DE01" w14:textId="77777777" w:rsidR="00B62524" w:rsidRDefault="00B62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85C" w14:textId="77777777" w:rsidR="00AF0F99" w:rsidRDefault="00000000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691C" w14:textId="77777777" w:rsidR="00B62524" w:rsidRDefault="00B62524">
      <w:pPr>
        <w:spacing w:after="0"/>
      </w:pPr>
      <w:r>
        <w:separator/>
      </w:r>
    </w:p>
  </w:footnote>
  <w:footnote w:type="continuationSeparator" w:id="0">
    <w:p w14:paraId="127D9537" w14:textId="77777777" w:rsidR="00B62524" w:rsidRDefault="00B62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734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209D"/>
    <w:rsid w:val="000035E4"/>
    <w:rsid w:val="00021969"/>
    <w:rsid w:val="00035881"/>
    <w:rsid w:val="000B7265"/>
    <w:rsid w:val="000D1468"/>
    <w:rsid w:val="000E25CA"/>
    <w:rsid w:val="000E2C71"/>
    <w:rsid w:val="00186BFD"/>
    <w:rsid w:val="00190BCC"/>
    <w:rsid w:val="00197875"/>
    <w:rsid w:val="001A311B"/>
    <w:rsid w:val="001C1C37"/>
    <w:rsid w:val="001C26A0"/>
    <w:rsid w:val="001D7593"/>
    <w:rsid w:val="001E787F"/>
    <w:rsid w:val="001F4311"/>
    <w:rsid w:val="0021166B"/>
    <w:rsid w:val="00215899"/>
    <w:rsid w:val="0023079A"/>
    <w:rsid w:val="0023652A"/>
    <w:rsid w:val="002617F9"/>
    <w:rsid w:val="00275B1D"/>
    <w:rsid w:val="0028211C"/>
    <w:rsid w:val="0028343E"/>
    <w:rsid w:val="002866E7"/>
    <w:rsid w:val="002A03FA"/>
    <w:rsid w:val="002B6F94"/>
    <w:rsid w:val="002D1A54"/>
    <w:rsid w:val="002D45CF"/>
    <w:rsid w:val="002D7484"/>
    <w:rsid w:val="00300BF3"/>
    <w:rsid w:val="003019E2"/>
    <w:rsid w:val="00331E39"/>
    <w:rsid w:val="0034300E"/>
    <w:rsid w:val="00345E46"/>
    <w:rsid w:val="00372A7F"/>
    <w:rsid w:val="003730E0"/>
    <w:rsid w:val="003A6E5A"/>
    <w:rsid w:val="003D7814"/>
    <w:rsid w:val="003F5AE6"/>
    <w:rsid w:val="00410FF4"/>
    <w:rsid w:val="00416BAF"/>
    <w:rsid w:val="0045160C"/>
    <w:rsid w:val="00453678"/>
    <w:rsid w:val="00460376"/>
    <w:rsid w:val="00460FCA"/>
    <w:rsid w:val="004719E5"/>
    <w:rsid w:val="004C13A3"/>
    <w:rsid w:val="004D2348"/>
    <w:rsid w:val="004D77D6"/>
    <w:rsid w:val="004E496B"/>
    <w:rsid w:val="004F076B"/>
    <w:rsid w:val="004F1FAC"/>
    <w:rsid w:val="004F2031"/>
    <w:rsid w:val="004F3206"/>
    <w:rsid w:val="004F43B9"/>
    <w:rsid w:val="00526684"/>
    <w:rsid w:val="00540DED"/>
    <w:rsid w:val="00547266"/>
    <w:rsid w:val="00551BDA"/>
    <w:rsid w:val="005A3902"/>
    <w:rsid w:val="005C2745"/>
    <w:rsid w:val="005D536A"/>
    <w:rsid w:val="005F3199"/>
    <w:rsid w:val="005F525E"/>
    <w:rsid w:val="00604680"/>
    <w:rsid w:val="00624BAC"/>
    <w:rsid w:val="00631657"/>
    <w:rsid w:val="006354BC"/>
    <w:rsid w:val="006362C8"/>
    <w:rsid w:val="00637CB7"/>
    <w:rsid w:val="00641F6F"/>
    <w:rsid w:val="00651702"/>
    <w:rsid w:val="0065294E"/>
    <w:rsid w:val="00684C6D"/>
    <w:rsid w:val="006A065D"/>
    <w:rsid w:val="006D5900"/>
    <w:rsid w:val="006E1CE9"/>
    <w:rsid w:val="006E5BB1"/>
    <w:rsid w:val="00715EC3"/>
    <w:rsid w:val="00716592"/>
    <w:rsid w:val="007260C4"/>
    <w:rsid w:val="00734A64"/>
    <w:rsid w:val="007616F3"/>
    <w:rsid w:val="00762382"/>
    <w:rsid w:val="007A105C"/>
    <w:rsid w:val="007A63F4"/>
    <w:rsid w:val="007C3979"/>
    <w:rsid w:val="007E0E10"/>
    <w:rsid w:val="007F189F"/>
    <w:rsid w:val="007F381F"/>
    <w:rsid w:val="007F7C0F"/>
    <w:rsid w:val="008166F7"/>
    <w:rsid w:val="00825B9C"/>
    <w:rsid w:val="00873C3D"/>
    <w:rsid w:val="008756B7"/>
    <w:rsid w:val="00891CC5"/>
    <w:rsid w:val="008A2EF5"/>
    <w:rsid w:val="008C4A14"/>
    <w:rsid w:val="008F05ED"/>
    <w:rsid w:val="00914660"/>
    <w:rsid w:val="0096062A"/>
    <w:rsid w:val="0096310D"/>
    <w:rsid w:val="00965A84"/>
    <w:rsid w:val="00983D54"/>
    <w:rsid w:val="009D0A2C"/>
    <w:rsid w:val="009D3919"/>
    <w:rsid w:val="009D56CF"/>
    <w:rsid w:val="009D6F45"/>
    <w:rsid w:val="009F5CD1"/>
    <w:rsid w:val="009F7732"/>
    <w:rsid w:val="00A07FFB"/>
    <w:rsid w:val="00A10F92"/>
    <w:rsid w:val="00A21DE6"/>
    <w:rsid w:val="00A4760B"/>
    <w:rsid w:val="00A56548"/>
    <w:rsid w:val="00A86B07"/>
    <w:rsid w:val="00A954D5"/>
    <w:rsid w:val="00AA1FCD"/>
    <w:rsid w:val="00AA706E"/>
    <w:rsid w:val="00AF06CD"/>
    <w:rsid w:val="00AF0F99"/>
    <w:rsid w:val="00B42048"/>
    <w:rsid w:val="00B46F95"/>
    <w:rsid w:val="00B53AB8"/>
    <w:rsid w:val="00B62524"/>
    <w:rsid w:val="00BA21C0"/>
    <w:rsid w:val="00BB2896"/>
    <w:rsid w:val="00BC28F1"/>
    <w:rsid w:val="00C07C63"/>
    <w:rsid w:val="00C125C4"/>
    <w:rsid w:val="00C33B37"/>
    <w:rsid w:val="00C561CB"/>
    <w:rsid w:val="00C57F5A"/>
    <w:rsid w:val="00C71578"/>
    <w:rsid w:val="00C73F22"/>
    <w:rsid w:val="00C97044"/>
    <w:rsid w:val="00CC4957"/>
    <w:rsid w:val="00D21010"/>
    <w:rsid w:val="00D210A4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32A9"/>
    <w:rsid w:val="00E73229"/>
    <w:rsid w:val="00EA249D"/>
    <w:rsid w:val="00EB6AAF"/>
    <w:rsid w:val="00EE3964"/>
    <w:rsid w:val="00F043F7"/>
    <w:rsid w:val="00F20751"/>
    <w:rsid w:val="00F32FE2"/>
    <w:rsid w:val="00F37B70"/>
    <w:rsid w:val="00F40602"/>
    <w:rsid w:val="00F77869"/>
    <w:rsid w:val="00F82981"/>
    <w:rsid w:val="00F9450C"/>
    <w:rsid w:val="00FB231B"/>
    <w:rsid w:val="00FB65C7"/>
    <w:rsid w:val="00FD0A98"/>
    <w:rsid w:val="00FD7496"/>
    <w:rsid w:val="00FE1A9A"/>
    <w:rsid w:val="00FE6C5B"/>
    <w:rsid w:val="00FE78F5"/>
    <w:rsid w:val="00FF09B8"/>
    <w:rsid w:val="00FF3D28"/>
    <w:rsid w:val="05D34DB8"/>
    <w:rsid w:val="07092259"/>
    <w:rsid w:val="0C465358"/>
    <w:rsid w:val="18D06A76"/>
    <w:rsid w:val="24C7274A"/>
    <w:rsid w:val="2E2A43F7"/>
    <w:rsid w:val="38854DC9"/>
    <w:rsid w:val="3D011321"/>
    <w:rsid w:val="44C744E6"/>
    <w:rsid w:val="63026180"/>
    <w:rsid w:val="67282627"/>
    <w:rsid w:val="69823BDB"/>
    <w:rsid w:val="78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56ABF"/>
  <w15:docId w15:val="{D1CFC05F-FE1D-4AEA-A68A-F59609F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paragraph" w:styleId="Lista">
    <w:name w:val="List"/>
    <w:basedOn w:val="Tretekstu"/>
    <w:uiPriority w:val="99"/>
  </w:style>
  <w:style w:type="character" w:styleId="Numerstrony">
    <w:name w:val="page number"/>
    <w:basedOn w:val="Domylnaczcionkaakapitu"/>
    <w:uiPriority w:val="99"/>
    <w:semiHidden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locked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Pr>
      <w:b/>
      <w:bCs/>
      <w:color w:val="00000A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qFormat/>
    <w:rPr>
      <w:color w:val="00000A"/>
    </w:rPr>
  </w:style>
  <w:style w:type="character" w:customStyle="1" w:styleId="ListLabel4">
    <w:name w:val="ListLabel 4"/>
    <w:uiPriority w:val="99"/>
    <w:rPr>
      <w:color w:val="00000A"/>
    </w:rPr>
  </w:style>
  <w:style w:type="character" w:customStyle="1" w:styleId="ListLabel5">
    <w:name w:val="ListLabel 5"/>
    <w:uiPriority w:val="99"/>
    <w:rPr>
      <w:b/>
      <w:bCs/>
      <w:color w:val="00000A"/>
    </w:rPr>
  </w:style>
  <w:style w:type="character" w:customStyle="1" w:styleId="ListLabel6">
    <w:name w:val="ListLabel 6"/>
    <w:uiPriority w:val="99"/>
    <w:rPr>
      <w:color w:val="00000A"/>
      <w:sz w:val="24"/>
      <w:szCs w:val="24"/>
    </w:rPr>
  </w:style>
  <w:style w:type="character" w:customStyle="1" w:styleId="ListLabel7">
    <w:name w:val="ListLabel 7"/>
    <w:uiPriority w:val="99"/>
    <w:rPr>
      <w:b/>
      <w:bCs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  <w:rPr>
      <w:color w:val="00000A"/>
    </w:rPr>
  </w:style>
  <w:style w:type="character" w:customStyle="1" w:styleId="ListLabel10">
    <w:name w:val="ListLabel 10"/>
    <w:uiPriority w:val="99"/>
    <w:rPr>
      <w:color w:val="00000A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Pr>
      <w:color w:val="00000A"/>
      <w:sz w:val="24"/>
      <w:szCs w:val="24"/>
      <w:lang w:eastAsia="en-US"/>
    </w:rPr>
  </w:style>
  <w:style w:type="character" w:customStyle="1" w:styleId="PodpisZnak">
    <w:name w:val="Podpis Znak"/>
    <w:link w:val="Podpis"/>
    <w:uiPriority w:val="99"/>
    <w:semiHidden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FooterChar1">
    <w:name w:val="Footer Char1"/>
    <w:uiPriority w:val="99"/>
    <w:semiHidden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character" w:customStyle="1" w:styleId="CommentTextChar1">
    <w:name w:val="Comment Text Char1"/>
    <w:uiPriority w:val="99"/>
    <w:semiHidden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Pr>
      <w:rFonts w:eastAsia="Times New Roman"/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</w:style>
  <w:style w:type="character" w:customStyle="1" w:styleId="viiyi">
    <w:name w:val="viiyi"/>
    <w:basedOn w:val="Domylnaczcionkaakapitu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4063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7</cp:revision>
  <cp:lastPrinted>2023-12-20T11:49:00Z</cp:lastPrinted>
  <dcterms:created xsi:type="dcterms:W3CDTF">2023-12-20T11:49:00Z</dcterms:created>
  <dcterms:modified xsi:type="dcterms:W3CDTF">2024-02-26T07:54:00Z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  <property fmtid="{D5CDD505-2E9C-101B-9397-08002B2CF9AE}" pid="3" name="KSOProductBuildVer">
    <vt:lpwstr>1045-12.2.0.13431</vt:lpwstr>
  </property>
  <property fmtid="{D5CDD505-2E9C-101B-9397-08002B2CF9AE}" pid="4" name="ICV">
    <vt:lpwstr>906F05FDE50E4FAFB7186F5356720A60_12</vt:lpwstr>
  </property>
</Properties>
</file>