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26053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2EB60AF9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8CFBC7D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02F0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02F0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747ECC91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F7AC99E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47AF95E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57E7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20E9A0" w14:textId="77777777" w:rsidR="00AA1FCD" w:rsidRPr="004F2031" w:rsidRDefault="00502F0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Pastry technology</w:t>
            </w:r>
          </w:p>
        </w:tc>
      </w:tr>
      <w:tr w:rsidR="00AA1FCD" w:rsidRPr="001C26A0" w14:paraId="13C17EB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15FB7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5D8B9B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7FDB43F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262DC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B7378F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Collegium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of Natural Science</w:t>
            </w:r>
          </w:p>
        </w:tc>
      </w:tr>
      <w:tr w:rsidR="00AA1FCD" w:rsidRPr="004F2031" w14:paraId="7A204AF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CC1A7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20F9E9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AA1FCD" w:rsidRPr="004F2031" w14:paraId="17631A2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E7DD9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2C9BD5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4F2031" w14:paraId="019D20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EE8FC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F7235" w14:textId="77777777" w:rsidR="00AA1FCD" w:rsidRPr="004F2031" w:rsidRDefault="00502F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</w:t>
            </w:r>
            <w:r w:rsidR="00D85E9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-degree studies</w:t>
            </w:r>
          </w:p>
        </w:tc>
      </w:tr>
      <w:tr w:rsidR="00AA1FCD" w:rsidRPr="004F2031" w14:paraId="116CD9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FCCE9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8D7276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57AE464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DD891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E0EB44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3D3E2A7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C100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8EBEE5" w14:textId="77777777" w:rsidR="00AA1FCD" w:rsidRPr="00AB3D35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502F0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502F0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AA1FCD" w:rsidRPr="004F2031" w14:paraId="460EDEE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EEDCF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F8DC7" w14:textId="77777777" w:rsidR="00AA1FCD" w:rsidRPr="004F2031" w:rsidRDefault="003324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</w:t>
            </w:r>
            <w:r w:rsidR="00AB3D35"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ecture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laboratory</w:t>
            </w:r>
          </w:p>
        </w:tc>
      </w:tr>
      <w:tr w:rsidR="00AA1FCD" w:rsidRPr="004F2031" w14:paraId="38C2446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8A85C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3A39A5" w14:textId="77777777" w:rsidR="00AA1FCD" w:rsidRPr="004F2031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862BBB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C839D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5F5C40" w14:textId="77777777" w:rsidR="00AA1FCD" w:rsidRPr="004F2031" w:rsidRDefault="005D50E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inż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 Greta Adamczyk</w:t>
            </w:r>
          </w:p>
        </w:tc>
      </w:tr>
      <w:tr w:rsidR="00AB3D35" w:rsidRPr="004F2031" w14:paraId="5F231AD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C96693" w14:textId="77777777" w:rsidR="00AB3D35" w:rsidRPr="004F2031" w:rsidRDefault="00AB3D35" w:rsidP="00AB3D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710D96" w14:textId="77777777" w:rsidR="00AB3D35" w:rsidRPr="00C53C77" w:rsidRDefault="00AB3D35" w:rsidP="00AB3D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inż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 Greta Adamczyk</w:t>
            </w:r>
          </w:p>
        </w:tc>
      </w:tr>
    </w:tbl>
    <w:p w14:paraId="60C8B058" w14:textId="77777777" w:rsidR="00AA1FCD" w:rsidRPr="00E77D02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E2219C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D44B4A6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FD322B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FDF8836" w14:textId="77777777" w:rsidTr="00E77D02">
        <w:trPr>
          <w:trHeight w:val="835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E79B3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D3AC44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87D6B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441F7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78DA6D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60542C" w14:textId="77777777" w:rsidR="00AA1FCD" w:rsidRPr="004F2031" w:rsidRDefault="002D7484" w:rsidP="00E77D0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8A0E4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51873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BE0EC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496CB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C777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0D1F6B6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796F1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A869CC" w14:textId="77777777" w:rsidR="00AA1FCD" w:rsidRPr="00502F02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  <w:r w:rsidRPr="006F6C6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EFB536" w14:textId="77777777" w:rsidR="00AA1FCD" w:rsidRPr="00502F0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07CD5B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5DF5C0" w14:textId="77777777" w:rsidR="00AA1FCD" w:rsidRPr="003324FE" w:rsidRDefault="003324F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3324FE">
              <w:rPr>
                <w:rFonts w:ascii="Corbel" w:eastAsia="Calibri" w:hAnsi="Corbel" w:cs="Tahoma"/>
                <w:color w:val="auto"/>
                <w:sz w:val="24"/>
                <w:lang w:val="en-GB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A98A7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3298A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1818B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77EABB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74FD1E" w14:textId="77777777" w:rsidR="00AA1FCD" w:rsidRPr="003324FE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3324FE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967F98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DB8E58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5F0C6E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10C167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C5A43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4390661" w14:textId="77777777" w:rsidR="00AA1FCD" w:rsidRPr="004F2031" w:rsidRDefault="00AB3D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5D7CD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AB686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753302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4F89846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BE6FF" w14:textId="77777777" w:rsidR="00AA1FCD" w:rsidRPr="004F2031" w:rsidRDefault="003324F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Carbohydrate Technology, </w:t>
            </w:r>
            <w:r w:rsidR="00AB3D35"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Cereals technology, Human nutrition, Dietetics, Food chemistry</w:t>
            </w:r>
          </w:p>
        </w:tc>
      </w:tr>
    </w:tbl>
    <w:p w14:paraId="69A92CFF" w14:textId="77777777" w:rsidR="00E77D02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301AB7" w14:textId="77777777" w:rsidR="00E77D02" w:rsidRPr="004F2031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27D9D6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80D01E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60E5082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505D30CD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336C68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D2C22D" w14:textId="77777777" w:rsidR="00502F02" w:rsidRPr="00502F02" w:rsidRDefault="00502F02" w:rsidP="00502F0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K</w:t>
            </w:r>
            <w:r w:rsidRPr="00502F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nowledge of pastry production technologies</w:t>
            </w:r>
          </w:p>
          <w:p w14:paraId="516FFD81" w14:textId="77777777"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A1FCD" w:rsidRPr="005F3199" w14:paraId="6CBC460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261ABE" w14:textId="77777777" w:rsidR="00AA1FCD" w:rsidRPr="004F2031" w:rsidRDefault="00AB3D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lastRenderedPageBreak/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DC9E93" w14:textId="77777777" w:rsidR="00AA1FCD" w:rsidRPr="004F2031" w:rsidRDefault="00AB3D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Indication of the impact of the modification of </w:t>
            </w:r>
            <w:r w:rsid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recipes</w:t>
            </w: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to product quality and technological process.</w:t>
            </w:r>
          </w:p>
        </w:tc>
      </w:tr>
      <w:tr w:rsidR="00AA1FCD" w:rsidRPr="005F3199" w14:paraId="78DDCC4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D7E945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B3D3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1CA474" w14:textId="77777777" w:rsidR="00AA1FCD" w:rsidRPr="004F2031" w:rsidRDefault="00502F0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Description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of defects in</w:t>
            </w:r>
            <w:r w:rsidRP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pastry products.</w:t>
            </w:r>
          </w:p>
        </w:tc>
      </w:tr>
    </w:tbl>
    <w:p w14:paraId="6FF3C83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53E36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B46E984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A79285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77"/>
        <w:gridCol w:w="5386"/>
        <w:gridCol w:w="2262"/>
      </w:tblGrid>
      <w:tr w:rsidR="00AA1FCD" w:rsidRPr="004F2031" w14:paraId="666B76EC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0E9FE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1A11A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C24033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9D379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34C124DB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E235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5F6247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knows the role </w:t>
            </w:r>
            <w:r w:rsidR="00F405B1" w:rsidRPr="00F405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raw materials in pastry products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4A202D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_W0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_W10</w:t>
            </w:r>
          </w:p>
        </w:tc>
      </w:tr>
      <w:tr w:rsidR="00AA1FCD" w:rsidRPr="004F2031" w14:paraId="5F98508E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AFBC7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DE62C6" w14:textId="77777777" w:rsidR="00AA1FCD" w:rsidRPr="004F2031" w:rsidRDefault="00F405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405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knows the impact of the modification of recipes to product quality and technological process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80004D" w14:textId="77777777" w:rsidR="00AA1FCD" w:rsidRPr="004F2031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_W0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  <w:tr w:rsidR="003D2A8B" w:rsidRPr="004F2031" w14:paraId="366E45AE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573578" w14:textId="77777777" w:rsidR="003D2A8B" w:rsidRPr="004F2031" w:rsidRDefault="003D2A8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D2A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AB2D49" w14:textId="77777777" w:rsidR="003D2A8B" w:rsidRPr="00F405B1" w:rsidRDefault="003324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knows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 xml:space="preserve"> t</w:t>
            </w:r>
            <w:r w:rsidR="003D2A8B" w:rsidRP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echnological processes of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 xml:space="preserve"> technics and methods in</w:t>
            </w:r>
            <w:r w:rsidR="003D2A8B" w:rsidRP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 xml:space="preserve"> pastry products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F52A8C" w14:textId="77777777" w:rsidR="003D2A8B" w:rsidRPr="00996D49" w:rsidRDefault="003D2A8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</w:t>
            </w:r>
          </w:p>
        </w:tc>
      </w:tr>
      <w:tr w:rsidR="00AA1FCD" w:rsidRPr="004F2031" w14:paraId="15BEF89A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73F1C3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0E9F9A" w14:textId="77777777" w:rsidR="00AA1FCD" w:rsidRPr="004F2031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make r</w:t>
            </w: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ecipe of pastry product design and assessment of quality of products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0DC802" w14:textId="77777777" w:rsidR="00AA1FCD" w:rsidRPr="004F2031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K1_U05, K1_U08</w:t>
            </w:r>
          </w:p>
        </w:tc>
      </w:tr>
      <w:tr w:rsidR="004E7E91" w:rsidRPr="004F2031" w14:paraId="5F4F4015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53F9CB" w14:textId="77777777" w:rsidR="004E7E91" w:rsidRPr="004F2031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A2D662" w14:textId="77777777" w:rsidR="004E7E91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make pastry products using various techniques and methods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074E30" w14:textId="77777777" w:rsidR="004E7E91" w:rsidRPr="00996D49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K1_U05, K1_U08</w:t>
            </w:r>
          </w:p>
        </w:tc>
      </w:tr>
      <w:tr w:rsidR="00AA1FCD" w:rsidRPr="004F2031" w14:paraId="5C5759F0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5A4BC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191B0E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analyses impact of the 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raw materials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on the process technology and is able to select the optimal modifications of standard production parameters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2FD051" w14:textId="77777777" w:rsidR="00AA1FCD" w:rsidRPr="004F2031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_U05, 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_U08</w:t>
            </w:r>
          </w:p>
        </w:tc>
      </w:tr>
      <w:tr w:rsidR="009B0235" w:rsidRPr="004F2031" w14:paraId="6A35B3E2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2233F8" w14:textId="77777777" w:rsidR="009B0235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306B2A" w14:textId="77777777" w:rsidR="009B0235" w:rsidRPr="00996D49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can interact and work in a group to solve technological analytical and technical problems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8BFB54" w14:textId="77777777" w:rsidR="009B0235" w:rsidRPr="004F2031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K1_K0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1, </w:t>
            </w: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K1_K05</w:t>
            </w:r>
          </w:p>
        </w:tc>
      </w:tr>
    </w:tbl>
    <w:p w14:paraId="2942D44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3D7305E" w14:textId="77777777" w:rsidR="00AA1FCD" w:rsidRPr="00E77D02" w:rsidRDefault="001C26A0" w:rsidP="00E77D0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16747EF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223F8819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709125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54ECB0" w14:textId="77777777" w:rsidR="00AA1FCD" w:rsidRPr="006F6C63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7A96097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0D3B2" w14:textId="77777777" w:rsidR="00AA1FCD" w:rsidRPr="006F6C63" w:rsidRDefault="001B11B1" w:rsidP="006F6C63">
            <w:pPr>
              <w:jc w:val="both"/>
              <w:rPr>
                <w:rFonts w:ascii="Corbel" w:hAnsi="Corbel"/>
                <w:szCs w:val="24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 xml:space="preserve">1. </w:t>
            </w:r>
            <w:r w:rsidR="00502F02" w:rsidRPr="006F6C63">
              <w:rPr>
                <w:rFonts w:ascii="Corbel" w:hAnsi="Corbel"/>
                <w:szCs w:val="24"/>
                <w:lang w:val="en"/>
              </w:rPr>
              <w:t>Characteristics of raw materials used in the production of pastry products.</w:t>
            </w:r>
          </w:p>
        </w:tc>
      </w:tr>
      <w:tr w:rsidR="00AA1FCD" w:rsidRPr="004F2031" w14:paraId="3B488ED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F5DDBD" w14:textId="77777777" w:rsidR="00AA1FCD" w:rsidRPr="006F6C63" w:rsidRDefault="001B11B1" w:rsidP="006F6C63">
            <w:pPr>
              <w:pStyle w:val="Akapitzlist"/>
              <w:ind w:left="0"/>
              <w:jc w:val="both"/>
              <w:rPr>
                <w:rFonts w:ascii="Corbel" w:hAnsi="Corbel"/>
                <w:szCs w:val="24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>2.</w:t>
            </w:r>
            <w:r w:rsidR="00502F02" w:rsidRPr="006F6C63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 xml:space="preserve"> </w:t>
            </w:r>
            <w:r w:rsidR="00502F02" w:rsidRPr="006F6C63">
              <w:rPr>
                <w:rFonts w:ascii="Corbel" w:hAnsi="Corbel"/>
                <w:szCs w:val="24"/>
                <w:lang w:val="en"/>
              </w:rPr>
              <w:t>Description of techniques and methods used in pastry technology</w:t>
            </w:r>
          </w:p>
        </w:tc>
      </w:tr>
      <w:tr w:rsidR="00AA1FCD" w:rsidRPr="004F2031" w14:paraId="4DA56BA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9C1575" w14:textId="77777777" w:rsidR="00AA1FCD" w:rsidRDefault="001B11B1" w:rsidP="006F6C6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>3.</w:t>
            </w:r>
            <w:r w:rsidR="006F6C63" w:rsidRPr="006F6C63">
              <w:rPr>
                <w:rFonts w:ascii="Corbel" w:hAnsi="Corbel" w:cs="Tahoma"/>
                <w:color w:val="auto"/>
                <w:szCs w:val="24"/>
                <w:lang w:val="en"/>
              </w:rPr>
              <w:t xml:space="preserve"> </w:t>
            </w:r>
            <w:r w:rsidR="006F6C63" w:rsidRPr="006F6C63">
              <w:rPr>
                <w:rFonts w:ascii="Corbel" w:hAnsi="Corbel"/>
                <w:szCs w:val="24"/>
                <w:lang w:val="en"/>
              </w:rPr>
              <w:t>Technological processes of individual pastry products</w:t>
            </w:r>
          </w:p>
          <w:p w14:paraId="23F01D6C" w14:textId="77777777" w:rsidR="006F6C63" w:rsidRPr="006F6C63" w:rsidRDefault="006F6C63" w:rsidP="006F6C6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9BF12E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1F16EB" w14:textId="77777777" w:rsidR="00AA1FCD" w:rsidRPr="006F6C63" w:rsidRDefault="001B11B1" w:rsidP="006F6C63">
            <w:pPr>
              <w:pStyle w:val="Akapitzlist"/>
              <w:ind w:left="0"/>
              <w:jc w:val="both"/>
              <w:rPr>
                <w:rFonts w:ascii="Corbel" w:eastAsia="Times New Roman" w:hAnsi="Corbel" w:cs="Courier New"/>
                <w:color w:val="auto"/>
                <w:szCs w:val="24"/>
                <w:lang w:eastAsia="pl-PL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4.</w:t>
            </w:r>
            <w:r w:rsidR="006F6C63" w:rsidRPr="006F6C63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 xml:space="preserve"> Causes of product defects and their prevention</w:t>
            </w:r>
          </w:p>
        </w:tc>
      </w:tr>
    </w:tbl>
    <w:p w14:paraId="624435F3" w14:textId="77777777" w:rsidR="00062574" w:rsidRPr="004F2031" w:rsidRDefault="00062574">
      <w:pPr>
        <w:rPr>
          <w:rFonts w:ascii="Corbel" w:hAnsi="Corbel" w:cs="Tahoma"/>
          <w:color w:val="auto"/>
          <w:szCs w:val="24"/>
          <w:lang w:val="en-GB"/>
        </w:rPr>
      </w:pPr>
    </w:p>
    <w:p w14:paraId="6DD6A0EA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DE81197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AB2604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F7ACF1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1E9A805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2495FB" w14:textId="77777777" w:rsidR="00AA1FCD" w:rsidRPr="00CD79FF" w:rsidRDefault="00CD79FF" w:rsidP="004E7E91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D79FF">
              <w:rPr>
                <w:rFonts w:ascii="Corbel" w:hAnsi="Corbel"/>
                <w:lang w:val="en-US"/>
              </w:rPr>
              <w:t>1.</w:t>
            </w:r>
            <w:r>
              <w:rPr>
                <w:rFonts w:ascii="Corbel" w:hAnsi="Corbel"/>
                <w:lang w:val="en-US"/>
              </w:rPr>
              <w:t xml:space="preserve"> </w:t>
            </w:r>
            <w:r w:rsidR="000C3EAC" w:rsidRPr="000C3EAC">
              <w:rPr>
                <w:rFonts w:ascii="Corbel" w:hAnsi="Corbel"/>
                <w:lang w:val="en-US"/>
              </w:rPr>
              <w:t>Recipe of pastry product design and assessment of quality of products.</w:t>
            </w:r>
          </w:p>
        </w:tc>
      </w:tr>
      <w:tr w:rsidR="00AA1FCD" w:rsidRPr="004F2031" w14:paraId="6B01A222" w14:textId="77777777" w:rsidTr="004E7E91">
        <w:trPr>
          <w:trHeight w:val="729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3A98B8" w14:textId="77777777" w:rsidR="00AA1FCD" w:rsidRPr="000C3EAC" w:rsidRDefault="00D84702" w:rsidP="004E7E91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  <w:lang w:val="en-US"/>
              </w:rPr>
              <w:lastRenderedPageBreak/>
              <w:t xml:space="preserve">2. </w:t>
            </w:r>
            <w:r w:rsidR="000C3EAC" w:rsidRPr="000C3EAC">
              <w:rPr>
                <w:rFonts w:ascii="Corbel" w:hAnsi="Corbel"/>
                <w:lang w:val="en"/>
              </w:rPr>
              <w:t>Students make pastry products using various techniques and methods.</w:t>
            </w:r>
          </w:p>
        </w:tc>
      </w:tr>
      <w:tr w:rsidR="00AA1FCD" w:rsidRPr="004F2031" w14:paraId="34EAFCF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B5E3A5" w14:textId="77777777" w:rsidR="00AA1FCD" w:rsidRPr="004F2031" w:rsidRDefault="00D84702" w:rsidP="004E7E91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t xml:space="preserve">3. </w:t>
            </w:r>
            <w:r w:rsidR="000C3EAC" w:rsidRPr="000C3EAC">
              <w:rPr>
                <w:rFonts w:ascii="Corbel" w:hAnsi="Corbel"/>
                <w:lang w:val="en-US"/>
              </w:rPr>
              <w:t>Students design and make basic pastry product - recipe, technology, organoleptic assessment.</w:t>
            </w:r>
          </w:p>
        </w:tc>
      </w:tr>
    </w:tbl>
    <w:p w14:paraId="35F8842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9F19007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32F0C32" w14:textId="77777777" w:rsidR="0080762A" w:rsidRPr="00FC659E" w:rsidRDefault="0080762A" w:rsidP="0080762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Lecture: a lecture supported by a multimedia presentation</w:t>
      </w:r>
    </w:p>
    <w:p w14:paraId="1EF3C816" w14:textId="77777777" w:rsidR="0080762A" w:rsidRPr="00FC659E" w:rsidRDefault="0080762A" w:rsidP="0080762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Laboratory classes: designing and conducting experiments</w:t>
      </w:r>
    </w:p>
    <w:p w14:paraId="094FB9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287795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2477DF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BB8216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61E660D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5"/>
        <w:gridCol w:w="2197"/>
      </w:tblGrid>
      <w:tr w:rsidR="00AA1FCD" w:rsidRPr="004F2031" w14:paraId="110FEEA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1E95E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669079F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5636A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B80F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08222B4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42815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689AD5" w14:textId="77777777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exam/test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08A803" w14:textId="77777777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13F3A5D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2C80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20F689" w14:textId="77777777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exam/test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9EA383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80762A" w:rsidRPr="004F2031" w14:paraId="7245E68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2E0D5D" w14:textId="77777777" w:rsidR="0080762A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C35D9C" w14:textId="77777777" w:rsidR="0080762A" w:rsidRPr="004F2031" w:rsidRDefault="004E7E9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exam/test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EB05AF" w14:textId="77777777" w:rsidR="0080762A" w:rsidRPr="004F2031" w:rsidRDefault="004E7E9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80762A" w:rsidRPr="004F2031" w14:paraId="52B1B13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A9048E" w14:textId="77777777" w:rsidR="0080762A" w:rsidRPr="004F2031" w:rsidRDefault="0080762A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0BB31" w14:textId="77777777" w:rsidR="0080762A" w:rsidRPr="00FC659E" w:rsidRDefault="0080762A" w:rsidP="0080762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report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A072A" w14:textId="77777777" w:rsidR="0080762A" w:rsidRPr="004F2031" w:rsidRDefault="003324FE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="001D41BE"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762A" w:rsidRPr="004F2031" w14:paraId="6C4BC0A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E89ED1" w14:textId="77777777" w:rsidR="0080762A" w:rsidRDefault="0080762A" w:rsidP="008076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2179DD" w14:textId="77777777" w:rsidR="0080762A" w:rsidRPr="004E7E91" w:rsidRDefault="004E7E91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report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4CE721" w14:textId="77777777" w:rsidR="0080762A" w:rsidRPr="004F2031" w:rsidRDefault="003324FE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324F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laboratory</w:t>
            </w:r>
            <w:r w:rsidRPr="003324FE">
              <w:rPr>
                <w:rFonts w:ascii="Corbel" w:hAnsi="Corbel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1D41BE"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E7E91" w:rsidRPr="004F2031" w14:paraId="77C87D0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2A43BF" w14:textId="77777777" w:rsidR="004E7E91" w:rsidRDefault="004E7E91" w:rsidP="008076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75CD14" w14:textId="77777777" w:rsidR="004E7E91" w:rsidRPr="004E7E91" w:rsidRDefault="004E7E91" w:rsidP="0080762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report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49582C" w14:textId="77777777" w:rsidR="004E7E91" w:rsidRPr="00FC659E" w:rsidRDefault="003324FE" w:rsidP="0080762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3324F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laboratory</w:t>
            </w:r>
            <w:r w:rsidRPr="003324FE">
              <w:rPr>
                <w:rFonts w:ascii="Corbel" w:hAnsi="Corbel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4E7E91" w:rsidRPr="004E7E91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E7E91" w:rsidRPr="004F2031" w14:paraId="0BD0B18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70744A" w14:textId="77777777" w:rsidR="004E7E91" w:rsidRDefault="004E7E91" w:rsidP="008076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2A2E80" w14:textId="77777777" w:rsidR="004E7E91" w:rsidRPr="00FC659E" w:rsidRDefault="004E7E91" w:rsidP="0080762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46A265" w14:textId="77777777" w:rsidR="004E7E91" w:rsidRPr="00FC659E" w:rsidRDefault="003324FE" w:rsidP="0080762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3324F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laboratory</w:t>
            </w:r>
            <w:r w:rsidRPr="003324FE">
              <w:rPr>
                <w:rFonts w:ascii="Corbel" w:hAnsi="Corbel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4E7E91" w:rsidRPr="004E7E91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6036F0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C70FAB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DB0E8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1B68FFD5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C49372" w14:textId="77777777" w:rsidR="00E77D02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Forms of assessment: laboratory work report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written exam.</w:t>
            </w:r>
          </w:p>
          <w:p w14:paraId="4E595521" w14:textId="77777777" w:rsidR="001D41BE" w:rsidRPr="00A76FCC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total points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exam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report. </w:t>
            </w:r>
          </w:p>
          <w:p w14:paraId="5423AF39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exercises (&gt; 50% of the maximum number of points):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51-59%,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60-69%,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70-79%,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80-89%, very good&gt; 90%.</w:t>
            </w:r>
          </w:p>
          <w:p w14:paraId="78060E8C" w14:textId="77777777" w:rsidR="00AA1FCD" w:rsidRPr="00E77D02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262B424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49B7F7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C756C2B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FC37E1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77"/>
        <w:gridCol w:w="3173"/>
      </w:tblGrid>
      <w:tr w:rsidR="00AA1FCD" w:rsidRPr="004F2031" w14:paraId="28D4C76E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93BB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04524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9C826D4" w14:textId="77777777" w:rsidTr="001D41BE">
        <w:trPr>
          <w:trHeight w:val="426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F3A0C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CAA24" w14:textId="77777777" w:rsidR="00AA1FCD" w:rsidRPr="005D7CDC" w:rsidRDefault="00F405B1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5D7CDC" w:rsidRPr="005D7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4F2031" w14:paraId="1D119C78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8687A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0FF0EF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109AC8AF" w14:textId="77777777" w:rsidR="00AA1FCD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5EFA82D7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AC7897" w14:textId="77777777" w:rsidR="00AA1FCD" w:rsidRPr="003C46E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B2042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603150ED" w14:textId="77777777" w:rsidR="00AA1FCD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4BF049DC" w14:textId="77777777" w:rsidTr="001D41BE">
        <w:trPr>
          <w:trHeight w:val="58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7A5DC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6C75CF" w14:textId="77777777" w:rsidR="00AA1FCD" w:rsidRPr="004E7E91" w:rsidRDefault="005D7CDC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3C46EF"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4F2031" w14:paraId="6CE82FC6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4E57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2E717" w14:textId="77777777" w:rsidR="00AA1FCD" w:rsidRPr="004E7E91" w:rsidRDefault="005D7CDC" w:rsidP="001D41B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27DB7A4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BFADA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18B3B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5719CE2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9C36D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6A0493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F0741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CA1EFE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DDD51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18DFF2D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248B5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020DFF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6273D7A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126032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A54D4CC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374953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1D41BE" w:rsidRPr="00F32FE2" w14:paraId="24302D4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8C2EAD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EE76D53" w14:textId="77777777" w:rsidR="003324FE" w:rsidRDefault="003324F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Zhou W. Bakery products science and technology. Wiley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Blachwell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3324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ISBN 978-1-119-96715-6</w:t>
            </w:r>
            <w:r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 xml:space="preserve">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USA, 2014.</w:t>
            </w:r>
          </w:p>
          <w:p w14:paraId="0F59F820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Pasha, I. M. R. A. N., Butt, M. S., Anjum, F. M.,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Shehzadi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N. (2002). Effect of dietetic sweeteners on the quality of cookies. Int. J. Agric.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Biol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4(2), 245-248.</w:t>
            </w:r>
          </w:p>
          <w:p w14:paraId="0990978E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Rodríguez‐García, J., Puig, A., Salvador, A., &amp; Hernando, I. (2012). Optimization of a sponge cake formulation with inulin as fat replacer: structure, physicochemical, and sensory properties. Journal of Food Science, 77(2), C189-C197.</w:t>
            </w:r>
          </w:p>
          <w:p w14:paraId="0B12D158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Gao, J., Brennan, M. A., Mason, S. L., &amp; Brennan, C. S. (2016). Effect of sugar replacement with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stevianna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and inulin on the texture and predictive glycaemic response of muffins. International Journal of Food Science &amp; Technology, 51(9), 1979-1987.</w:t>
            </w:r>
          </w:p>
          <w:p w14:paraId="6BF5DDA1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Nourmohammadi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E.,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Peighambardoust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S. H. (2016). New concept in reduced‐Calorie sponge cake production by xylitol and oligofructose. Journal of food quality, 39(6), 627-633.</w:t>
            </w:r>
          </w:p>
          <w:p w14:paraId="52446053" w14:textId="77777777" w:rsidR="001D41BE" w:rsidRPr="00983E7F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Renzetti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S., &amp; Jurgens, A. (2016). Rheological and thermal behavio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 of food matrices during processing and storage: relevance for textural and nutritional quality of food. Current Opinion in Food Science, 9, 117-125.</w:t>
            </w:r>
          </w:p>
        </w:tc>
      </w:tr>
      <w:tr w:rsidR="001D41BE" w:rsidRPr="00F32FE2" w14:paraId="3EF0CD4D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464141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D423E7F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41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Mohammed, I. K.,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Skamniotis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C. G.,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Charalambides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M. N. (2019). Developing Food Structure for Mechanical Performance. Handbook of Food Structure Development, 18, 199.</w:t>
            </w:r>
          </w:p>
          <w:p w14:paraId="4164467C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700DD0A" w14:textId="77777777" w:rsidR="00AA1FCD" w:rsidRPr="004F2031" w:rsidRDefault="00AA1FCD" w:rsidP="001D41B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2C88D9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28AB9DC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F08FC45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55BDE" w14:textId="77777777" w:rsidR="00CD6426" w:rsidRDefault="00CD6426">
      <w:pPr>
        <w:spacing w:after="0" w:line="240" w:lineRule="auto"/>
      </w:pPr>
      <w:r>
        <w:separator/>
      </w:r>
    </w:p>
  </w:endnote>
  <w:endnote w:type="continuationSeparator" w:id="0">
    <w:p w14:paraId="3CD5E403" w14:textId="77777777" w:rsidR="00CD6426" w:rsidRDefault="00CD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DCA4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3EA4A" w14:textId="77777777" w:rsidR="00CD6426" w:rsidRDefault="00CD6426">
      <w:pPr>
        <w:spacing w:after="0" w:line="240" w:lineRule="auto"/>
      </w:pPr>
      <w:r>
        <w:separator/>
      </w:r>
    </w:p>
  </w:footnote>
  <w:footnote w:type="continuationSeparator" w:id="0">
    <w:p w14:paraId="3A58611C" w14:textId="77777777" w:rsidR="00CD6426" w:rsidRDefault="00CD6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5CE3"/>
    <w:multiLevelType w:val="hybridMultilevel"/>
    <w:tmpl w:val="53A4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32F8"/>
    <w:rsid w:val="00056005"/>
    <w:rsid w:val="00062574"/>
    <w:rsid w:val="00074E72"/>
    <w:rsid w:val="000C22A5"/>
    <w:rsid w:val="000C3EAC"/>
    <w:rsid w:val="000C4A96"/>
    <w:rsid w:val="0014581E"/>
    <w:rsid w:val="001917EC"/>
    <w:rsid w:val="001B11B1"/>
    <w:rsid w:val="001C26A0"/>
    <w:rsid w:val="001D41BE"/>
    <w:rsid w:val="0028211C"/>
    <w:rsid w:val="002D7484"/>
    <w:rsid w:val="00300BF3"/>
    <w:rsid w:val="00321F37"/>
    <w:rsid w:val="003324FE"/>
    <w:rsid w:val="003730E0"/>
    <w:rsid w:val="003C46EF"/>
    <w:rsid w:val="003D2A8B"/>
    <w:rsid w:val="004046C4"/>
    <w:rsid w:val="00407F22"/>
    <w:rsid w:val="00450193"/>
    <w:rsid w:val="004E75D3"/>
    <w:rsid w:val="004E7E91"/>
    <w:rsid w:val="004F2031"/>
    <w:rsid w:val="00502F02"/>
    <w:rsid w:val="005D50E3"/>
    <w:rsid w:val="005D7CDC"/>
    <w:rsid w:val="005F3199"/>
    <w:rsid w:val="006F6C63"/>
    <w:rsid w:val="0080762A"/>
    <w:rsid w:val="009474DF"/>
    <w:rsid w:val="009B0235"/>
    <w:rsid w:val="009F7732"/>
    <w:rsid w:val="00A91E9D"/>
    <w:rsid w:val="00AA1FCD"/>
    <w:rsid w:val="00AB3D35"/>
    <w:rsid w:val="00AC565E"/>
    <w:rsid w:val="00AC5834"/>
    <w:rsid w:val="00AC700C"/>
    <w:rsid w:val="00CD6426"/>
    <w:rsid w:val="00CD79FF"/>
    <w:rsid w:val="00D84702"/>
    <w:rsid w:val="00D85E94"/>
    <w:rsid w:val="00DC1EB8"/>
    <w:rsid w:val="00E342DC"/>
    <w:rsid w:val="00E77D02"/>
    <w:rsid w:val="00EA249D"/>
    <w:rsid w:val="00F32FE2"/>
    <w:rsid w:val="00F4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24A6F"/>
  <w15:docId w15:val="{4993B83D-168F-444B-B1D9-91B52F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02F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02F02"/>
    <w:rPr>
      <w:rFonts w:ascii="Consolas" w:eastAsia="Calibri" w:hAnsi="Consolas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4A622-6EF2-4C61-A6C4-B303AEB7D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2C008-E13B-45F9-9CF7-703D416AF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45C63-1A6F-4256-88CC-B1EE42E7084D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875c63c0-45e1-4f4a-8797-41d481b79017"/>
    <ds:schemaRef ds:uri="http://purl.org/dc/elements/1.1/"/>
    <ds:schemaRef ds:uri="http://www.w3.org/XML/1998/namespace"/>
    <ds:schemaRef ds:uri="http://schemas.openxmlformats.org/package/2006/metadata/core-properties"/>
    <ds:schemaRef ds:uri="cb59da9b-4ac6-4a65-8cdf-3b2ec47675f3"/>
  </ds:schemaRefs>
</ds:datastoreItem>
</file>

<file path=customXml/itemProps4.xml><?xml version="1.0" encoding="utf-8"?>
<ds:datastoreItem xmlns:ds="http://schemas.openxmlformats.org/officeDocument/2006/customXml" ds:itemID="{682F5964-B9D8-46D2-B199-DE9B6D30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2017-07-04T06:31:00Z</cp:lastPrinted>
  <dcterms:created xsi:type="dcterms:W3CDTF">2023-05-23T10:22:00Z</dcterms:created>
  <dcterms:modified xsi:type="dcterms:W3CDTF">2023-05-23T10:22:00Z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