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519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650A20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6547B4" w14:textId="210652AC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B66C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B66C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1E7C97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D4FA5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53F208C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955B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C291C" w14:textId="1CDE6BFE" w:rsidR="00AA1FCD" w:rsidRPr="004F2031" w:rsidRDefault="009F6C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F6C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Nutrition, Aging and Health</w:t>
            </w:r>
          </w:p>
        </w:tc>
      </w:tr>
      <w:tr w:rsidR="00AA1FCD" w:rsidRPr="001C26A0" w14:paraId="453EE2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714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FEAC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B66C3" w14:paraId="3AA4EF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8E6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21D994" w14:textId="58CBC8AD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  <w:r w:rsidR="009F6C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1D1128" w14:paraId="7FB3BEC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8D7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2A655" w14:textId="485083D5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1D1128" w14:paraId="7E31EC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BB9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9ACAB" w14:textId="609ED628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7AD0EF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E60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D94C4" w14:textId="4EFD91F1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54DBD1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157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EF6B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5FD2A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81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8DFC3" w14:textId="17E5C5AB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0B66C3" w14:paraId="1EF050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A61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61D9E1" w14:textId="2D08D892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7D3FB1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79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1FCE5" w14:textId="039D6994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ecture </w:t>
            </w:r>
          </w:p>
        </w:tc>
      </w:tr>
      <w:tr w:rsidR="00AA1FCD" w:rsidRPr="004F2031" w14:paraId="56F2DF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C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98E40" w14:textId="69CEF760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EEADC9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EB2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F056" w14:textId="0589BFDA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  <w:tr w:rsidR="00AA1FCD" w:rsidRPr="004F2031" w14:paraId="38B658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DAC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9336C" w14:textId="2DEA33A9" w:rsidR="00AA1FCD" w:rsidRPr="004F2031" w:rsidRDefault="000B66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</w:tbl>
    <w:p w14:paraId="466A3AA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595E0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3791D5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6680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F4DFAF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DA2413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E73CC3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D4A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7084BF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6C3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BD8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2C95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3D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B12EC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CB6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F52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9E0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082A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8C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959575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6EAB5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FA2D7" w14:textId="05E8A55C" w:rsidR="00AA1FCD" w:rsidRPr="004F2031" w:rsidRDefault="00541B5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6C62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DB5C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2FEF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D013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42B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8DB7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889C6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50765" w14:textId="5236C67C" w:rsidR="00AA1FCD" w:rsidRPr="004F2031" w:rsidRDefault="001D112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378F13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CB66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9AE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6F6BA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83938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2E664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96413AA" w14:textId="77777777" w:rsidR="00541B55" w:rsidRPr="004F2031" w:rsidRDefault="00541B55" w:rsidP="00541B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4B97DA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ABB0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B03F4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49995B6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A5631" w14:textId="6016003A" w:rsidR="00AA1FCD" w:rsidRPr="004F2031" w:rsidRDefault="00541B5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Human nutrition</w:t>
            </w:r>
          </w:p>
        </w:tc>
      </w:tr>
    </w:tbl>
    <w:p w14:paraId="1B549B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D19A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13F3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6049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8022F1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D1128" w14:paraId="27C5FD2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D5858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71909F" w14:textId="0E00431D" w:rsidR="00AA1FCD" w:rsidRPr="00B171A4" w:rsidRDefault="003052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="00B171A4"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he relationships among nutrition, aging and health including the current and projected aged European population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1D1128" w14:paraId="754F9E7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8F64" w14:textId="722A4C5C" w:rsidR="00AA1FCD" w:rsidRPr="004F2031" w:rsidRDefault="008124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2E171" w14:textId="5BC05B5C" w:rsidR="00AA1FCD" w:rsidRPr="004F2031" w:rsidRDefault="008124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he 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nutritional needs, limitations (economic, physical, </w:t>
            </w:r>
            <w:proofErr w:type="spellStart"/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behavioral</w:t>
            </w:r>
            <w:proofErr w:type="spellEnd"/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etc) to meeting those needs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1D1128" w14:paraId="060D7B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F2316" w14:textId="551F6C8A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8124E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1AD2D" w14:textId="7B6E617B" w:rsidR="00AA1FCD" w:rsidRPr="004F2031" w:rsidRDefault="008124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Description of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aged disease prevention by diet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  <w:r w:rsidR="009C5A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</w:p>
        </w:tc>
      </w:tr>
    </w:tbl>
    <w:p w14:paraId="4E401E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E4B2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AC3CE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6A999B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37A46D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FB6AC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3"/>
        <w:gridCol w:w="6096"/>
        <w:gridCol w:w="1836"/>
      </w:tblGrid>
      <w:tr w:rsidR="00AA1FCD" w:rsidRPr="001D1128" w14:paraId="53F7611E" w14:textId="77777777" w:rsidTr="008F68CA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C76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CA2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7DBED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37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C5A2F" w14:paraId="5F5AFB4C" w14:textId="77777777" w:rsidTr="008F68CA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5AB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A2BFB2" w14:textId="39F9F4C1" w:rsidR="00AA1FCD" w:rsidRPr="009C5A2F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be 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known trends related to human nutrition, the principles of rational nutrition in a holistic approach and understands the operation of selected diets, especially in the context of aging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10573" w14:textId="512B4D74" w:rsidR="00AA1FCD" w:rsidRPr="004F2031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A1FCD" w:rsidRPr="009C5A2F" w14:paraId="27C8A9BD" w14:textId="77777777" w:rsidTr="008F68CA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6769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54E9F" w14:textId="0BF872AD" w:rsidR="00AA1FCD" w:rsidRPr="004F2031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be able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escribe and apply methods of nutrition screening and assessment for older adults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0E8B" w14:textId="31294DA2" w:rsidR="00AA1FCD" w:rsidRPr="004F2031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AA1FCD" w:rsidRPr="009C5A2F" w14:paraId="76F08AEA" w14:textId="77777777" w:rsidTr="008F68CA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476D3" w14:textId="72D2D82A" w:rsidR="00AA1FCD" w:rsidRPr="004F2031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5B37" w14:textId="6FC28D19" w:rsidR="00AA1FCD" w:rsidRPr="004F2031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assess which products available on the market should be used in everyday nutrition, depending on the needs of the body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B094C" w14:textId="1DB9A064" w:rsidR="00AA1FCD" w:rsidRPr="004F2031" w:rsidRDefault="009C5A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6F6B06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D8BE2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045EF2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FBB565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0EBF4B6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7C508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7D14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44BA3B7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9E9C6" w14:textId="4A083250" w:rsidR="00AA1FCD" w:rsidRPr="004F2031" w:rsidRDefault="009D625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GB"/>
              </w:rPr>
              <w:t>hysiology of aging</w:t>
            </w:r>
          </w:p>
        </w:tc>
      </w:tr>
      <w:tr w:rsidR="00AA1FCD" w:rsidRPr="001D1128" w14:paraId="0EE4D02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89C66" w14:textId="01E11BAD" w:rsidR="00AA1FCD" w:rsidRPr="004F2031" w:rsidRDefault="009D625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of elderly, nutrients and energy requirement </w:t>
            </w:r>
          </w:p>
        </w:tc>
      </w:tr>
      <w:tr w:rsidR="00C95C16" w:rsidRPr="001D1128" w14:paraId="423F7D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5F40A2" w14:textId="3008F6C6" w:rsidR="00C95C16" w:rsidRDefault="00C95C1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nti-inflammatory components of diet</w:t>
            </w:r>
          </w:p>
        </w:tc>
      </w:tr>
      <w:tr w:rsidR="00AA1FCD" w:rsidRPr="001D1128" w14:paraId="1CC217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2D6A9" w14:textId="3A84E51D" w:rsidR="00AA1FCD" w:rsidRPr="009D6254" w:rsidRDefault="009D625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US"/>
              </w:rPr>
              <w:t>hysical and mental activity of the elderly</w:t>
            </w:r>
          </w:p>
        </w:tc>
      </w:tr>
      <w:tr w:rsidR="00AA1FCD" w:rsidRPr="009D6254" w14:paraId="103367A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881AB" w14:textId="7A6434DE" w:rsidR="00AA1FCD" w:rsidRPr="004F2031" w:rsidRDefault="00C95C1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ssessment of nutritional status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C95C16" w:rsidRPr="009D6254" w14:paraId="2E0D851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6A60BA" w14:textId="53C8CA33" w:rsidR="00C95C16" w:rsidRDefault="00C95C1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Malnutrition</w:t>
            </w:r>
          </w:p>
        </w:tc>
      </w:tr>
      <w:tr w:rsidR="00C95C16" w:rsidRPr="009D6254" w14:paraId="666B5A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8A4AFB" w14:textId="5ECD8BB6" w:rsidR="00C95C16" w:rsidRDefault="00C95C1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Frailty syndrome and sarcopenia</w:t>
            </w:r>
          </w:p>
        </w:tc>
      </w:tr>
    </w:tbl>
    <w:p w14:paraId="1F1CF03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C4B80D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9984C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92C21EF" w14:textId="5E5E824A" w:rsidR="00F0694C" w:rsidRPr="00FC659E" w:rsidRDefault="00F0694C" w:rsidP="00F0694C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F0694C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</w:t>
      </w:r>
    </w:p>
    <w:p w14:paraId="250E63D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1849C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D4278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FFC0D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A43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408183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DBDBF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923EB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CBDF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F504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00F7E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722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A94CC" w14:textId="6CDB241C" w:rsidR="00AA1FCD" w:rsidRPr="004F2031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B26E1" w14:textId="3F5E10B1" w:rsidR="00AA1FCD" w:rsidRPr="004F2031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AA1FCD" w:rsidRPr="004F2031" w14:paraId="20F22D4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88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21AD0" w14:textId="6A5A0C84" w:rsidR="00AA1FCD" w:rsidRPr="004F2031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B6D70" w14:textId="72F46AA1" w:rsidR="00AA1FCD" w:rsidRPr="004F2031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346750" w:rsidRPr="004F2031" w14:paraId="3E89EC7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175EE" w14:textId="4401C768" w:rsidR="00346750" w:rsidRPr="004F2031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5FC50" w14:textId="267BF572" w:rsidR="00346750" w:rsidRPr="004F2031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exam/test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D3C2A" w14:textId="28D77511" w:rsidR="00346750" w:rsidRPr="00FC659E" w:rsidRDefault="00346750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</w:tbl>
    <w:p w14:paraId="05C054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6E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0B56B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D0A6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D1128" w14:paraId="7B0B611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28854" w14:textId="7F5676D3" w:rsidR="00E97F64" w:rsidRPr="00A76FCC" w:rsidRDefault="00E97F64" w:rsidP="00E97F6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exam. </w:t>
            </w:r>
          </w:p>
          <w:p w14:paraId="30B4CD44" w14:textId="743A4787" w:rsidR="00E97F64" w:rsidRDefault="00E97F64" w:rsidP="00E97F6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&gt; 50% of the maximum number of points: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%, very good&gt; 90%.</w:t>
            </w:r>
          </w:p>
          <w:p w14:paraId="5B94EB15" w14:textId="7AD6FFA6" w:rsidR="00AA1FCD" w:rsidRPr="004F2031" w:rsidRDefault="00E97F64" w:rsidP="00E97F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7E988E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A8CB5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F8DAAF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8E572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6069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CCDB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C2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1B3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9C12D2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EF6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3F9C1" w14:textId="53BB94E7" w:rsidR="00AA1FCD" w:rsidRPr="004F2031" w:rsidRDefault="008F68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171A4" w14:paraId="65445D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EE8C1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1DE91" w14:textId="7FD0CBF9" w:rsidR="00AA1FCD" w:rsidRPr="004F2031" w:rsidRDefault="008F68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B171A4" w14:paraId="7971EDA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2D0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2A21D" w14:textId="1A847780" w:rsidR="00AA1FCD" w:rsidRPr="004F2031" w:rsidRDefault="001D11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55</w:t>
            </w:r>
          </w:p>
        </w:tc>
      </w:tr>
      <w:tr w:rsidR="00AA1FCD" w:rsidRPr="004F2031" w14:paraId="39FA06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705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D8D13" w14:textId="7A9FB1A4" w:rsidR="00AA1FCD" w:rsidRPr="004F2031" w:rsidRDefault="008F68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1D112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B171A4" w14:paraId="00A87E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21B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0C23D" w14:textId="4825253B" w:rsidR="00AA1FCD" w:rsidRPr="004F2031" w:rsidRDefault="001D11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bookmarkStart w:id="0" w:name="_GoBack"/>
            <w:bookmarkEnd w:id="0"/>
          </w:p>
        </w:tc>
      </w:tr>
    </w:tbl>
    <w:p w14:paraId="5B01DEC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CD83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41F0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A4BD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192A5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F7B06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85CD36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234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C4C7B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F6AB" w14:textId="4B0DD1E2" w:rsidR="00AA1FCD" w:rsidRPr="004F2031" w:rsidRDefault="008F68C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5B9837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688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FF7FD" w14:textId="6C39A084" w:rsidR="00AA1FCD" w:rsidRPr="004F2031" w:rsidRDefault="008F68C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F5754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A0E0B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DA721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85909C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C0278" w14:paraId="6C6CB18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8A3BB" w14:textId="5B86FFDC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197BA14F" w14:textId="5EB5933D" w:rsidR="00147AD4" w:rsidRDefault="006C0278" w:rsidP="00147AD4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ONZ. World Population Aging 2017</w:t>
            </w:r>
            <w:r w:rsidR="00EB472D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Department of Economic and Social Affairs Population Division, United Unions: New York, NY, USA, 2017; ISBN 978-92-1-151551-0</w:t>
            </w:r>
            <w:r w:rsid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69877B63" w14:textId="77777777" w:rsidR="00937111" w:rsidRDefault="00147AD4" w:rsidP="00937111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Eurostat: Ageing Europe,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ooking at the lives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of older people in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EU – 20</w:t>
            </w:r>
            <w:r w:rsid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20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edition.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2019,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92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76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09814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3CDDC7C6" w14:textId="7C7A98E0" w:rsidR="00937111" w:rsidRPr="00937111" w:rsidRDefault="00937111" w:rsidP="00937111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Eurostat: Active ageing and solidarity between generations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-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A statistical portrait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–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2012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2011.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978-92-79-21507-0</w:t>
            </w:r>
          </w:p>
          <w:p w14:paraId="66B27537" w14:textId="7838FA0D" w:rsidR="006C0278" w:rsidRPr="003373E2" w:rsidRDefault="001D24BB" w:rsidP="00937111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Noel, M.; Reddy, M. Nutrition and aging. Prim Care 2005, 32, 659–669.</w:t>
            </w:r>
          </w:p>
          <w:p w14:paraId="71F78027" w14:textId="4F5F846B" w:rsidR="003373E2" w:rsidRPr="00937111" w:rsidRDefault="001D24BB" w:rsidP="00937111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Remond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D.; Shahar, D.R.;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Gille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D.; Pinto, P.;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Kachal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J.;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Peyron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M.-A.; dos Santos,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C.N.;Walther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B.;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Bordoni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A.; Dupont, D.; et al. Understanding the gastrointestinal tract of the elderly to develop dietary solutions that prevent malnutrition.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Oncotarget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2015, 6, 13858–13898.</w:t>
            </w:r>
          </w:p>
          <w:p w14:paraId="440E1C9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B472D" w14:paraId="2BC30F0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004A6" w14:textId="1E67DD28" w:rsidR="00EB472D" w:rsidRDefault="002D7484" w:rsidP="00EB47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D5C0D8C" w14:textId="0A651FFA" w:rsidR="00EB472D" w:rsidRPr="00EB472D" w:rsidRDefault="00EB472D" w:rsidP="00C76EBD">
            <w:pPr>
              <w:pStyle w:val="Punktygwne"/>
              <w:numPr>
                <w:ilvl w:val="6"/>
                <w:numId w:val="12"/>
              </w:numPr>
              <w:spacing w:after="0"/>
              <w:ind w:left="391"/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BarberiL</w:t>
            </w:r>
            <w:proofErr w:type="spellEnd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Scicchitano</w:t>
            </w:r>
            <w:proofErr w:type="spellEnd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B.M., De Rossi M. et al. Age-dependent alteration in muscle regeneration: the critical role of tissue niche. </w:t>
            </w:r>
            <w:r w:rsidRPr="00EB472D"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Biogerontology 2013, </w:t>
            </w:r>
            <w:r w:rsidR="00430C41" w:rsidRPr="00EB472D"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14, </w:t>
            </w:r>
            <w:r w:rsidRPr="00EB472D"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273-292.</w:t>
            </w:r>
          </w:p>
          <w:p w14:paraId="55BA2843" w14:textId="64886B7F" w:rsidR="00EB472D" w:rsidRDefault="00EB472D" w:rsidP="00C76EBD">
            <w:pPr>
              <w:pStyle w:val="Punktygwne"/>
              <w:numPr>
                <w:ilvl w:val="6"/>
                <w:numId w:val="12"/>
              </w:numPr>
              <w:spacing w:after="0"/>
              <w:ind w:left="391"/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Arabi A.,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Baddoura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R., El-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Rassi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R., El-Hajj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Fuleihan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G. PTH level but not 25 (OH) vitamin D level predicts bone loss rates in the elderly.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Osteoporos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Int, 2012, 23 (3), 971-980</w:t>
            </w:r>
            <w:r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.</w:t>
            </w:r>
          </w:p>
          <w:p w14:paraId="4558FEFA" w14:textId="6090D162" w:rsidR="00430C41" w:rsidRPr="00430C41" w:rsidRDefault="00430C41" w:rsidP="00C76EBD">
            <w:pPr>
              <w:pStyle w:val="Nagwek1"/>
              <w:numPr>
                <w:ilvl w:val="6"/>
                <w:numId w:val="12"/>
              </w:numPr>
              <w:spacing w:before="240" w:beforeAutospacing="0"/>
              <w:ind w:left="391"/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30C41">
              <w:rPr>
                <w:rFonts w:ascii="Corbel" w:hAnsi="Corbel" w:cs="AdvPTime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Chen X., Mao G., </w:t>
            </w:r>
            <w:proofErr w:type="spellStart"/>
            <w:r w:rsidRPr="00430C41">
              <w:rPr>
                <w:rFonts w:ascii="Corbel" w:hAnsi="Corbel" w:cs="AdvPTime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Leng</w:t>
            </w:r>
            <w:proofErr w:type="spellEnd"/>
            <w:r w:rsidRPr="00430C41">
              <w:rPr>
                <w:rFonts w:ascii="Corbel" w:hAnsi="Corbel" w:cs="AdvPTime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S.X. </w:t>
            </w:r>
            <w:r w:rsidRPr="00430C41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Frailty syndrome: an overview. </w:t>
            </w:r>
            <w:hyperlink r:id="rId11" w:history="1">
              <w:r w:rsidRPr="00C76EBD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 xml:space="preserve">Clin </w:t>
              </w:r>
              <w:proofErr w:type="spellStart"/>
              <w:r w:rsidRPr="00C76EBD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>Interv</w:t>
              </w:r>
              <w:proofErr w:type="spellEnd"/>
              <w:r w:rsidRPr="00C76EBD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 xml:space="preserve"> Aging</w:t>
              </w:r>
            </w:hyperlink>
            <w:r w:rsidRPr="00C76EBD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2014, 9, 433-441.</w:t>
            </w:r>
          </w:p>
          <w:p w14:paraId="3AB0CD5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5233EE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30FDD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86AD0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A86E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94109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24D5F72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D539C8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8D390" w14:textId="77777777" w:rsidR="002F5365" w:rsidRDefault="002F5365">
      <w:pPr>
        <w:spacing w:after="0" w:line="240" w:lineRule="auto"/>
      </w:pPr>
      <w:r>
        <w:separator/>
      </w:r>
    </w:p>
  </w:endnote>
  <w:endnote w:type="continuationSeparator" w:id="0">
    <w:p w14:paraId="6F890AA3" w14:textId="77777777" w:rsidR="002F5365" w:rsidRDefault="002F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C52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2B20" w14:textId="77777777" w:rsidR="002F5365" w:rsidRDefault="002F5365">
      <w:pPr>
        <w:spacing w:after="0" w:line="240" w:lineRule="auto"/>
      </w:pPr>
      <w:r>
        <w:separator/>
      </w:r>
    </w:p>
  </w:footnote>
  <w:footnote w:type="continuationSeparator" w:id="0">
    <w:p w14:paraId="06FAE7C8" w14:textId="77777777" w:rsidR="002F5365" w:rsidRDefault="002F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A04CD"/>
    <w:multiLevelType w:val="multilevel"/>
    <w:tmpl w:val="C9427E9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AC1721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DF4526"/>
    <w:multiLevelType w:val="multilevel"/>
    <w:tmpl w:val="D45A389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49A63A3D"/>
    <w:multiLevelType w:val="multilevel"/>
    <w:tmpl w:val="40C64B3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F995A98"/>
    <w:multiLevelType w:val="multilevel"/>
    <w:tmpl w:val="D45A389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293FC7"/>
    <w:multiLevelType w:val="multilevel"/>
    <w:tmpl w:val="FC6A2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6AEE0551"/>
    <w:multiLevelType w:val="hybridMultilevel"/>
    <w:tmpl w:val="5322D4AE"/>
    <w:lvl w:ilvl="0" w:tplc="8A22A35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B66C3"/>
    <w:rsid w:val="0012185A"/>
    <w:rsid w:val="00147AD4"/>
    <w:rsid w:val="001C26A0"/>
    <w:rsid w:val="001D1128"/>
    <w:rsid w:val="001D24BB"/>
    <w:rsid w:val="00255330"/>
    <w:rsid w:val="0028211C"/>
    <w:rsid w:val="002D7484"/>
    <w:rsid w:val="002F5365"/>
    <w:rsid w:val="00300BF3"/>
    <w:rsid w:val="0030526C"/>
    <w:rsid w:val="003373E2"/>
    <w:rsid w:val="00346750"/>
    <w:rsid w:val="003730E0"/>
    <w:rsid w:val="003D47B2"/>
    <w:rsid w:val="00430C41"/>
    <w:rsid w:val="004F2031"/>
    <w:rsid w:val="00541B55"/>
    <w:rsid w:val="00547266"/>
    <w:rsid w:val="005F3199"/>
    <w:rsid w:val="006C0278"/>
    <w:rsid w:val="008124ED"/>
    <w:rsid w:val="008F68CA"/>
    <w:rsid w:val="00937111"/>
    <w:rsid w:val="009C5A2F"/>
    <w:rsid w:val="009D6254"/>
    <w:rsid w:val="009F6CCC"/>
    <w:rsid w:val="009F7732"/>
    <w:rsid w:val="00A07FFB"/>
    <w:rsid w:val="00AA1FCD"/>
    <w:rsid w:val="00B171A4"/>
    <w:rsid w:val="00BF0FC8"/>
    <w:rsid w:val="00C76EBD"/>
    <w:rsid w:val="00C95C16"/>
    <w:rsid w:val="00E97F64"/>
    <w:rsid w:val="00EA249D"/>
    <w:rsid w:val="00EB472D"/>
    <w:rsid w:val="00F0694C"/>
    <w:rsid w:val="00F32FE2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23027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430C41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30C41"/>
    <w:rPr>
      <w:rFonts w:eastAsia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0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pmc/articles/PMC3964027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4C57-04C7-4EAF-BEF0-87D31D11F13C}">
  <ds:schemaRefs>
    <ds:schemaRef ds:uri="http://www.w3.org/XML/1998/namespace"/>
    <ds:schemaRef ds:uri="875c63c0-45e1-4f4a-8797-41d481b7901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59da9b-4ac6-4a65-8cdf-3b2ec47675f3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D3D6A7-0B7A-4B5B-8C1B-4DDE2C602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4A9EB-A6EF-4128-9B10-6376CF7D1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4FB16-3762-4FCC-98F7-40E7D15B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2023-05-26T18:53:00Z</dcterms:created>
  <dcterms:modified xsi:type="dcterms:W3CDTF">2023-05-26T18:56:00Z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