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orbel" w:hAnsi="Corbel" w:cs="Tahoma"/>
          <w:color w:val="auto"/>
          <w:lang w:val="en-GB"/>
        </w:rPr>
      </w:pPr>
      <w:r>
        <w:rPr>
          <w:rFonts w:cs="Tahoma" w:ascii="Corbel" w:hAnsi="Corbel"/>
          <w:color w:val="auto"/>
          <w:lang w:val="en-GB"/>
        </w:rPr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smallCaps/>
          <w:color w:val="auto"/>
          <w:sz w:val="36"/>
          <w:lang w:val="en-GB"/>
        </w:rPr>
      </w:pPr>
      <w:r>
        <w:rPr>
          <w:rFonts w:cs="Tahoma" w:ascii="Corbel" w:hAnsi="Corbel"/>
          <w:b/>
          <w:smallCaps/>
          <w:color w:val="auto"/>
          <w:sz w:val="36"/>
          <w:lang w:val="en-GB"/>
        </w:rPr>
        <w:t>SYLLABUS</w:t>
      </w:r>
    </w:p>
    <w:p>
      <w:pPr>
        <w:pStyle w:val="Normal"/>
        <w:spacing w:lineRule="auto" w:line="240" w:before="0" w:after="0"/>
        <w:jc w:val="center"/>
        <w:rPr>
          <w:rFonts w:ascii="Corbel" w:hAnsi="Corbel" w:cs="Tahoma"/>
          <w:b/>
          <w:b/>
          <w:bCs/>
          <w:smallCaps/>
          <w:color w:val="auto"/>
          <w:szCs w:val="24"/>
          <w:lang w:val="en-GB"/>
        </w:rPr>
      </w:pPr>
      <w:r>
        <w:rPr>
          <w:rFonts w:cs="Tahoma" w:ascii="Corbel" w:hAnsi="Corbel"/>
          <w:b/>
          <w:bCs/>
          <w:smallCaps/>
          <w:color w:val="auto"/>
          <w:szCs w:val="24"/>
          <w:lang w:val="en-GB"/>
        </w:rPr>
        <w:t>regarding the qualification cycle FROM  2023 TO 2024</w:t>
      </w:r>
    </w:p>
    <w:p>
      <w:pPr>
        <w:pStyle w:val="Normal"/>
        <w:tabs>
          <w:tab w:val="left" w:pos="6405" w:leader="none"/>
        </w:tabs>
        <w:spacing w:lineRule="auto" w:line="240" w:before="0" w:after="0"/>
        <w:jc w:val="center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cs="Tahoma" w:ascii="Corbel" w:hAnsi="Corbel"/>
          <w:color w:val="auto"/>
          <w:szCs w:val="24"/>
          <w:lang w:val="en-US"/>
        </w:rPr>
        <w:t xml:space="preserve">1. Basic Course/Module Information </w:t>
      </w:r>
    </w:p>
    <w:tbl>
      <w:tblPr>
        <w:tblW w:w="9667" w:type="dxa"/>
        <w:jc w:val="left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14"/>
        <w:gridCol w:w="6852"/>
      </w:tblGrid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Consequentialist ethics (Monographic lecture)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US"/>
              </w:rPr>
              <w:t>College of Humanities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Institute of Philosophy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Philosophy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MA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1</w:t>
            </w: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 xml:space="preserve"> year, summer term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specialization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en-GB"/>
              </w:rPr>
              <w:t>English/Polish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de-DE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de-DE"/>
              </w:rPr>
              <w:t>Prof. dr hab. Vasil Gluchman</w:t>
            </w:r>
          </w:p>
        </w:tc>
      </w:tr>
      <w:tr>
        <w:trPr/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ytania"/>
              <w:spacing w:before="40" w:after="40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Odpowiedzi"/>
              <w:spacing w:lineRule="auto" w:line="240" w:before="40" w:after="40"/>
              <w:rPr>
                <w:rFonts w:ascii="Corbel" w:hAnsi="Corbel" w:cs="Tahoma"/>
                <w:b w:val="false"/>
                <w:b w:val="false"/>
                <w:i/>
                <w:i/>
                <w:color w:val="auto"/>
                <w:sz w:val="24"/>
                <w:szCs w:val="24"/>
                <w:lang w:val="de-DE"/>
              </w:rPr>
            </w:pPr>
            <w:r>
              <w:rPr>
                <w:rFonts w:cs="Tahoma" w:ascii="Corbel" w:hAnsi="Corbel"/>
                <w:b w:val="false"/>
                <w:i/>
                <w:color w:val="auto"/>
                <w:sz w:val="24"/>
                <w:szCs w:val="24"/>
                <w:lang w:val="de-DE"/>
              </w:rPr>
              <w:t>Prof. dr hab. Vasil Gluchman</w:t>
            </w:r>
          </w:p>
        </w:tc>
      </w:tr>
    </w:tbl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de-DE"/>
        </w:rPr>
      </w:pPr>
      <w:r>
        <w:rPr>
          <w:rFonts w:cs="Tahoma" w:ascii="Corbel" w:hAnsi="Corbel"/>
          <w:color w:val="auto"/>
          <w:sz w:val="24"/>
          <w:szCs w:val="24"/>
          <w:lang w:val="de-DE"/>
        </w:rPr>
      </w:r>
    </w:p>
    <w:p>
      <w:pPr>
        <w:pStyle w:val="Podpunkty"/>
        <w:ind w:left="0" w:hanging="0"/>
        <w:rPr>
          <w:rFonts w:ascii="Corbel" w:hAnsi="Corbel" w:cs="Tahoma"/>
          <w:b w:val="false"/>
          <w:b w:val="false"/>
          <w:color w:val="auto"/>
          <w:sz w:val="24"/>
          <w:szCs w:val="24"/>
          <w:lang w:val="en-GB"/>
        </w:rPr>
      </w:pPr>
      <w:r>
        <w:rPr>
          <w:rFonts w:cs="Tahoma" w:ascii="Corbel" w:hAnsi="Corbel"/>
          <w:b w:val="false"/>
          <w:color w:val="auto"/>
          <w:sz w:val="24"/>
          <w:szCs w:val="24"/>
          <w:lang w:val="en-GB"/>
        </w:rPr>
        <w:t>* - as agreed at the faculty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p>
      <w:pPr>
        <w:pStyle w:val="Podpunkty"/>
        <w:numPr>
          <w:ilvl w:val="1"/>
          <w:numId w:val="2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  <w:t xml:space="preserve">Learning format – number of hours and ECTS credits </w:t>
      </w:r>
    </w:p>
    <w:p>
      <w:pPr>
        <w:pStyle w:val="Podpunkty"/>
        <w:ind w:left="0" w:hanging="0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cs="Tahoma" w:ascii="Corbel" w:hAnsi="Corbel"/>
          <w:color w:val="auto"/>
          <w:sz w:val="24"/>
          <w:szCs w:val="24"/>
          <w:lang w:val="en-GB"/>
        </w:rPr>
      </w:r>
    </w:p>
    <w:tbl>
      <w:tblPr>
        <w:tblW w:w="9633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58"/>
        <w:gridCol w:w="949"/>
        <w:gridCol w:w="961"/>
        <w:gridCol w:w="1011"/>
        <w:gridCol w:w="927"/>
        <w:gridCol w:w="988"/>
        <w:gridCol w:w="972"/>
        <w:gridCol w:w="1204"/>
        <w:gridCol w:w="746"/>
        <w:gridCol w:w="816"/>
      </w:tblGrid>
      <w:tr>
        <w:trPr/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agwkitablic"/>
              <w:spacing w:before="0" w:after="120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agwkitablic"/>
              <w:spacing w:before="0" w:after="120"/>
              <w:jc w:val="center"/>
              <w:rPr>
                <w:rFonts w:ascii="Corbel" w:hAnsi="Corbel" w:cs="Tahoma"/>
                <w:b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>
        <w:trPr>
          <w:trHeight w:val="453" w:hRule="atLeast"/>
        </w:trPr>
        <w:tc>
          <w:tcPr>
            <w:tcW w:w="1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Centralniewrubryce"/>
              <w:spacing w:before="0" w:after="0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3</w:t>
            </w:r>
          </w:p>
        </w:tc>
      </w:tr>
    </w:tbl>
    <w:p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  <w:r>
        <w:rPr>
          <w:rFonts w:cs="Tahoma" w:ascii="Corbel" w:hAnsi="Corbel"/>
          <w:color w:val="auto"/>
          <w:sz w:val="24"/>
          <w:szCs w:val="24"/>
          <w:lang w:val="en-GB" w:eastAsia="en-US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US"/>
        </w:rPr>
        <w:t>1.2. Course delivery methods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 xml:space="preserve">- </w:t>
      </w:r>
      <w:r>
        <w:rPr>
          <w:rFonts w:cs="Tahoma" w:ascii="Corbel" w:hAnsi="Corbel"/>
          <w:caps w:val="false"/>
          <w:smallCaps w:val="false"/>
          <w:color w:val="auto"/>
          <w:szCs w:val="24"/>
          <w:u w:val="single"/>
          <w:lang w:val="en-US"/>
        </w:rPr>
        <w:t>conducted in a traditional way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- involving distance education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methods and techniques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1.3. Course/Module assessmen</w:t>
      </w:r>
      <w:r>
        <w:rPr>
          <w:rFonts w:cs="Tahoma" w:ascii="Corbel" w:hAnsi="Corbel"/>
          <w:bCs/>
          <w:caps w:val="false"/>
          <w:smallCaps w:val="false"/>
          <w:color w:val="auto"/>
          <w:szCs w:val="24"/>
          <w:lang w:val="en-GB"/>
        </w:rPr>
        <w:t xml:space="preserve">t </w:t>
      </w: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 xml:space="preserve">(exam, pass with a grade, pass without a grade)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pass with a grade</w:t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 xml:space="preserve">2. Prerequisites </w:t>
      </w:r>
    </w:p>
    <w:tbl>
      <w:tblPr>
        <w:tblW w:w="9633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33"/>
      </w:tblGrid>
      <w:tr>
        <w:trPr/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40" w:after="4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KNOWLEDGE OF BASIC ISSUES FROM THE HISTORY OF PHILOSOPHY, ETHICS, PHILOSOPHICAL ETHICS. ABILITY TO CRITICALLY INTERPRET AND ANALYZE SELECTED MATERIALS.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3. Objectives, Learning Outcomes, Course Content, and Instructional Methods</w:t>
      </w:r>
    </w:p>
    <w:p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odpunkty"/>
        <w:ind w:left="0" w:hanging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cs="Tahoma" w:ascii="Corbel" w:hAnsi="Corbel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0"/>
        <w:gridCol w:w="8962"/>
      </w:tblGrid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i/>
                <w:i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i/>
                <w:color w:val="auto"/>
                <w:sz w:val="24"/>
                <w:lang w:val="en-GB"/>
              </w:rPr>
              <w:t>Teach the ability to extract arguments and their premises, formulate and argue theses.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Cele"/>
              <w:spacing w:before="40" w:after="40"/>
              <w:ind w:left="0" w:hanging="0"/>
              <w:jc w:val="left"/>
              <w:rPr>
                <w:rFonts w:ascii="Corbel" w:hAnsi="Corbel" w:eastAsia="Calibri" w:cs="Tahoma"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i/>
                <w:i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i/>
                <w:color w:val="auto"/>
                <w:sz w:val="24"/>
                <w:lang w:val="en-GB"/>
              </w:rPr>
              <w:t>Teach to pay attention to the clarity of expression and avoid logical errors.</w:t>
            </w:r>
          </w:p>
        </w:tc>
      </w:tr>
      <w:tr>
        <w:trPr/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color w:val="auto"/>
                <w:sz w:val="24"/>
                <w:szCs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odpunkty"/>
              <w:spacing w:before="40" w:after="40"/>
              <w:ind w:left="0" w:hanging="0"/>
              <w:jc w:val="left"/>
              <w:rPr>
                <w:rFonts w:ascii="Corbel" w:hAnsi="Corbel" w:eastAsia="Calibri" w:cs="Tahoma"/>
                <w:b w:val="false"/>
                <w:b w:val="false"/>
                <w:i/>
                <w:i/>
                <w:color w:val="auto"/>
                <w:sz w:val="24"/>
                <w:lang w:val="en-GB"/>
              </w:rPr>
            </w:pPr>
            <w:r>
              <w:rPr>
                <w:rFonts w:eastAsia="Calibri" w:cs="Tahoma" w:ascii="Corbel" w:hAnsi="Corbel"/>
                <w:b w:val="false"/>
                <w:i/>
                <w:color w:val="auto"/>
                <w:sz w:val="24"/>
                <w:lang w:val="en-GB"/>
              </w:rPr>
              <w:t>To teach the ethics of consequentialism.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cs="Tahoma" w:ascii="Corbel" w:hAnsi="Corbel"/>
          <w:color w:val="auto"/>
          <w:szCs w:val="24"/>
          <w:lang w:val="en-GB"/>
        </w:rPr>
        <w:t xml:space="preserve">Course/Module Learning Outcomes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tbl>
      <w:tblPr>
        <w:tblW w:w="9524" w:type="dxa"/>
        <w:jc w:val="lef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73"/>
        <w:gridCol w:w="4597"/>
        <w:gridCol w:w="2554"/>
      </w:tblGrid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caps w:val="false"/>
                <w:smallCaps w:val="false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The student has a comprehensive knowledge and in-depth understanding of the role of philosophical reflection in shaping contemporary ethics.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szCs w:val="24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K_W01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The student knows and understands the relationships between different versions of current ethical theories.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K_W03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The student has extensive knowledge of contemporary consequentialist ethical theories.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K_W05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The student has a systematic knowledge of the main directions of consequentialist ethics in the past and present.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K_W09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The student has a wide knowledge and understands the difference between utilitarian and non-utilitarian versions of consequentialist ethics.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K_W13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The student has a thorough knowledge of the methods of interpreting a philosophical text.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K_W18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Searches, analyses, evaluates, selects and integrates information from written and electronic sources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bCs/>
                <w:szCs w:val="24"/>
              </w:rPr>
              <w:t>K_U01</w:t>
            </w:r>
          </w:p>
        </w:tc>
      </w:tr>
      <w:tr>
        <w:trPr/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Independently undertakes and initiates professional activities; plans and organizes their course.</w:t>
            </w:r>
          </w:p>
        </w:tc>
        <w:tc>
          <w:tcPr>
            <w:tcW w:w="2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bCs/>
                <w:szCs w:val="24"/>
                <w:lang w:val="en-US"/>
              </w:rPr>
            </w:pPr>
            <w:r>
              <w:rPr>
                <w:rFonts w:ascii="Corbel" w:hAnsi="Corbel"/>
                <w:b w:val="false"/>
                <w:szCs w:val="24"/>
              </w:rPr>
              <w:t>K_K02</w:t>
            </w:r>
          </w:p>
        </w:tc>
      </w:tr>
    </w:tbl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Normal"/>
        <w:rPr>
          <w:rFonts w:ascii="Corbel" w:hAnsi="Corbel"/>
          <w:b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</w:r>
    </w:p>
    <w:p>
      <w:pPr>
        <w:pStyle w:val="Normal"/>
        <w:rPr>
          <w:rFonts w:ascii="Corbel" w:hAnsi="Corbel" w:cs="Tahoma"/>
          <w:b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cs="Tahoma" w:ascii="Corbel" w:hAnsi="Corbel"/>
          <w:b/>
          <w:color w:val="auto"/>
          <w:szCs w:val="24"/>
          <w:lang w:val="en-GB"/>
        </w:rPr>
        <w:t>Course content (to be completed by the coordinator)</w:t>
      </w:r>
    </w:p>
    <w:p>
      <w:pPr>
        <w:pStyle w:val="ListParagraph"/>
        <w:ind w:left="862" w:hanging="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Lectures</w:t>
      </w:r>
    </w:p>
    <w:p>
      <w:pPr>
        <w:pStyle w:val="ListParagraph"/>
        <w:spacing w:lineRule="auto" w:line="240" w:before="0" w:after="120"/>
        <w:ind w:left="1080" w:hanging="0"/>
        <w:contextualSpacing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Content outline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1. History of consequentialist ethics in the 19th and 20th centuries – 2 hours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2. Ethics of social consequences (right action theory and value theory) – 2 hours.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3. Ethics of social consequences (biological and social aspects) - 2 hours.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4. Ethics of social consequences (the idea of humanity) - 2 hours.                                                    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5. Ethics of social consequences (human dignity) - 2 hours.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6. Ethics of social consequences (moral right) - 2 hours.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>7. Ethics of social consequences and its criticism (colloquium) - 3 hours.</w:t>
            </w:r>
          </w:p>
        </w:tc>
      </w:tr>
    </w:tbl>
    <w:p>
      <w:pPr>
        <w:pStyle w:val="Normal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  <w:t>Classes, tutorials/seminars, colloquia, laboratories, practical classes</w:t>
      </w:r>
    </w:p>
    <w:p>
      <w:pPr>
        <w:pStyle w:val="ListParagraph"/>
        <w:ind w:left="1080" w:hanging="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tbl>
      <w:tblPr>
        <w:tblW w:w="7229" w:type="dxa"/>
        <w:jc w:val="left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29"/>
      </w:tblGrid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708" w:hanging="708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</w:r>
          </w:p>
        </w:tc>
      </w:tr>
      <w:tr>
        <w:trPr/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cs="Tahoma" w:ascii="Corbel" w:hAnsi="Corbel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>
      <w:pPr>
        <w:pStyle w:val="ListParagraph"/>
        <w:ind w:left="1080" w:hanging="0"/>
        <w:rPr>
          <w:rFonts w:ascii="Corbel" w:hAnsi="Corbel" w:cs="Tahoma"/>
          <w:color w:val="auto"/>
          <w:szCs w:val="24"/>
          <w:lang w:val="en-GB"/>
        </w:rPr>
      </w:pPr>
      <w:r>
        <w:rPr>
          <w:rFonts w:cs="Tahoma" w:ascii="Corbel" w:hAnsi="Corbel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/>
          <w:b w:val="false"/>
          <w:b w:val="false"/>
          <w:color w:val="auto"/>
          <w:szCs w:val="24"/>
          <w:lang w:val="en-GB"/>
        </w:rPr>
      </w:pPr>
      <w:r>
        <w:rPr>
          <w:rFonts w:ascii="Corbel" w:hAnsi="Corbel"/>
          <w:b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 Methods of Instruction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 w:val="20"/>
          <w:szCs w:val="20"/>
          <w:lang w:val="en-GB"/>
        </w:rPr>
        <w:t>e.g.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i/>
          <w:i/>
          <w:caps w:val="false"/>
          <w:smallCaps w:val="false"/>
          <w:color w:val="auto"/>
          <w:sz w:val="20"/>
          <w:szCs w:val="20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 w:val="20"/>
          <w:szCs w:val="20"/>
          <w:lang w:val="en-GB"/>
        </w:rPr>
        <w:t>Laboratory classes: designing and conducting experiments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i/>
          <w:caps w:val="false"/>
          <w:smallCaps w:val="false"/>
          <w:color w:val="auto"/>
          <w:szCs w:val="24"/>
          <w:lang w:val="en-GB"/>
        </w:rPr>
        <w:t>a problem-solving lecture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  <w:bookmarkStart w:id="0" w:name="_GoBack"/>
      <w:bookmarkStart w:id="1" w:name="_GoBack"/>
      <w:bookmarkEnd w:id="1"/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 Assessment techniques and criteria 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4.1 Methods of evaluating learning outcomes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>Direct paraphrasing, One-sentence summary, application cards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47"/>
        <w:gridCol w:w="4956"/>
        <w:gridCol w:w="2196"/>
      </w:tblGrid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outcome</w:t>
            </w:r>
          </w:p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i/>
                <w:i/>
                <w:color w:val="auto"/>
                <w:szCs w:val="20"/>
                <w:lang w:val="en-GB" w:eastAsia="pl-PL"/>
              </w:rPr>
            </w:pPr>
            <w:r>
              <w:rPr>
                <w:b w:val="false"/>
                <w:i/>
                <w:sz w:val="22"/>
              </w:rPr>
              <w:t>Active presence in class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  <w:t>Lectures</w:t>
            </w:r>
          </w:p>
        </w:tc>
      </w:tr>
      <w:tr>
        <w:trPr/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i/>
                <w:i/>
                <w:color w:val="auto"/>
                <w:szCs w:val="20"/>
                <w:lang w:val="en-US" w:eastAsia="pl-PL"/>
              </w:rPr>
            </w:pPr>
            <w:r>
              <w:rPr>
                <w:b w:val="false"/>
                <w:i/>
                <w:sz w:val="22"/>
                <w:lang w:val="en-US"/>
              </w:rPr>
              <w:t>asking questions, debate and discussion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false"/>
                <w:color w:val="auto"/>
                <w:szCs w:val="20"/>
                <w:lang w:val="en-GB" w:eastAsia="pl-PL"/>
              </w:rPr>
              <w:t>Lectures</w:t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4.2 Course assessment criteria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9099" w:type="dxa"/>
        <w:jc w:val="left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99"/>
      </w:tblGrid>
      <w:tr>
        <w:trPr/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ASSESSMENT:</w:t>
            </w:r>
          </w:p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ASSESSMENT 3 FULL PRESENCE IN CLASSES</w:t>
            </w:r>
          </w:p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ASSESSMENT 4 FULL PRESENCE IN CLASSES AND OCCASIONAL (UP TO 50% OF CLASSES) ACTIVITY</w:t>
            </w:r>
          </w:p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ASSESSMENT 5 FULL PRESENCE IN CLASSES AND FREQUENTLY (OVER 70% OF CLASSES) ACTIVITY</w:t>
            </w:r>
          </w:p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284" w:hanging="284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5. Total student workload needed to achieve the intended learning outcomes </w:t>
      </w:r>
    </w:p>
    <w:p>
      <w:pPr>
        <w:pStyle w:val="Punktygwne"/>
        <w:spacing w:before="0" w:after="0"/>
        <w:ind w:left="284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– </w:t>
      </w: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 xml:space="preserve">number of hours and ECTS credits 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tbl>
      <w:tblPr>
        <w:tblW w:w="8750" w:type="dxa"/>
        <w:jc w:val="left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5"/>
        <w:gridCol w:w="4374"/>
      </w:tblGrid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>
        <w:trPr>
          <w:trHeight w:val="426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eastAsia="pl-PL"/>
              </w:rPr>
              <w:t>15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15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US" w:eastAsia="pl-PL"/>
              </w:rPr>
              <w:t>30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60</w:t>
            </w:r>
          </w:p>
        </w:tc>
      </w:tr>
      <w:tr>
        <w:trPr>
          <w:trHeight w:val="455" w:hRule="atLeast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0"/>
                <w:lang w:val="en-GB" w:eastAsia="pl-PL"/>
              </w:rPr>
              <w:t>3</w:t>
            </w:r>
          </w:p>
        </w:tc>
      </w:tr>
    </w:tbl>
    <w:p>
      <w:pPr>
        <w:pStyle w:val="Punktygwne"/>
        <w:spacing w:before="0" w:after="0"/>
        <w:ind w:firstLine="708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  <w:t>* One ECTS point corresponds to 25-30 hours of total student workload</w:t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</w:r>
    </w:p>
    <w:p>
      <w:pPr>
        <w:pStyle w:val="Punktygwne"/>
        <w:spacing w:before="0" w:after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US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US"/>
        </w:rPr>
      </w:r>
    </w:p>
    <w:p>
      <w:pPr>
        <w:pStyle w:val="Punktygwne"/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6. Internships related to the course/module</w:t>
      </w:r>
    </w:p>
    <w:p>
      <w:pPr>
        <w:pStyle w:val="Punktygwne"/>
        <w:spacing w:before="0" w:after="0"/>
        <w:ind w:left="36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8005" w:type="dxa"/>
        <w:jc w:val="left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856"/>
        <w:gridCol w:w="4148"/>
      </w:tblGrid>
      <w:tr>
        <w:trPr>
          <w:trHeight w:val="234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Number of hours</w:t>
            </w:r>
          </w:p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  <w:tr>
        <w:trPr>
          <w:trHeight w:val="515" w:hRule="atLeast"/>
        </w:trPr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i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pPr>
            <w:r>
              <w:rPr>
                <w:rFonts w:cs="Tahoma" w:ascii="Corbel" w:hAnsi="Corbel"/>
                <w:b w:val="false"/>
                <w:i/>
                <w:caps w:val="false"/>
                <w:smallCaps w:val="false"/>
                <w:color w:val="auto"/>
                <w:szCs w:val="20"/>
                <w:lang w:val="en-GB" w:eastAsia="pl-PL"/>
              </w:rPr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tabs>
          <w:tab w:val="left" w:pos="284" w:leader="none"/>
        </w:tabs>
        <w:spacing w:before="0" w:after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  <w:t>7. Instructional materials</w:t>
      </w:r>
    </w:p>
    <w:p>
      <w:pPr>
        <w:pStyle w:val="Punktygwne"/>
        <w:spacing w:before="0" w:after="0"/>
        <w:ind w:left="720" w:hanging="0"/>
        <w:rPr>
          <w:rFonts w:ascii="Corbel" w:hAnsi="Corbel" w:cs="Tahoma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caps w:val="false"/>
          <w:smallCaps w:val="false"/>
          <w:color w:val="auto"/>
          <w:szCs w:val="24"/>
          <w:lang w:val="en-GB"/>
        </w:rPr>
      </w:r>
    </w:p>
    <w:tbl>
      <w:tblPr>
        <w:tblW w:w="7992" w:type="dxa"/>
        <w:jc w:val="left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992"/>
      </w:tblGrid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>Compulsory literature:</w:t>
            </w:r>
          </w:p>
          <w:p>
            <w:pPr>
              <w:pStyle w:val="Punktygwne"/>
              <w:spacing w:before="0" w:after="120"/>
              <w:rPr>
                <w:rFonts w:ascii="Corbel" w:hAnsi="Corbel"/>
                <w:b w:val="false"/>
                <w:b w:val="false"/>
                <w:szCs w:val="24"/>
              </w:rPr>
            </w:pPr>
            <w:r>
              <w:rPr>
                <w:rFonts w:ascii="Corbel" w:hAnsi="Corbel"/>
                <w:b w:val="false"/>
                <w:szCs w:val="24"/>
                <w:lang w:val="en-US"/>
              </w:rPr>
              <w:t xml:space="preserve">Gluchman, V., Human being and morality in ethics of social consequences. </w:t>
            </w:r>
            <w:r>
              <w:rPr>
                <w:rFonts w:ascii="Corbel" w:hAnsi="Corbel"/>
                <w:b w:val="false"/>
                <w:szCs w:val="24"/>
              </w:rPr>
              <w:t xml:space="preserve">Lewiston, NY 2003. </w:t>
            </w:r>
          </w:p>
          <w:p>
            <w:pPr>
              <w:pStyle w:val="Punktygwne"/>
              <w:spacing w:before="0" w:after="120"/>
              <w:rPr>
                <w:rFonts w:ascii="Corbel" w:hAnsi="Corbel"/>
                <w:b w:val="false"/>
                <w:b w:val="false"/>
                <w:szCs w:val="24"/>
              </w:rPr>
            </w:pPr>
            <w:r>
              <w:rPr>
                <w:rFonts w:ascii="Corbel" w:hAnsi="Corbel"/>
                <w:b w:val="false"/>
                <w:szCs w:val="24"/>
              </w:rPr>
              <w:t>Gluchman, V., Etyka społecznych konsekwencji. warszawa 2012.</w:t>
            </w:r>
          </w:p>
          <w:p>
            <w:pPr>
              <w:pStyle w:val="Punktygwne"/>
              <w:spacing w:before="0" w:after="120"/>
              <w:rPr>
                <w:rFonts w:ascii="Corbel" w:hAnsi="Corbel"/>
                <w:b w:val="false"/>
                <w:b w:val="false"/>
                <w:szCs w:val="24"/>
              </w:rPr>
            </w:pPr>
            <w:r>
              <w:rPr>
                <w:rFonts w:ascii="Corbel" w:hAnsi="Corbel"/>
                <w:b w:val="false"/>
                <w:szCs w:val="24"/>
              </w:rPr>
              <w:t>Gluchman, V., Etika sociálnych dôsledkov v kontexte jej kritiky. Prešov 1999.</w:t>
            </w:r>
          </w:p>
          <w:p>
            <w:pPr>
              <w:pStyle w:val="Punktygwne"/>
              <w:spacing w:before="0" w:after="0"/>
              <w:rPr>
                <w:rFonts w:ascii="Corbel" w:hAnsi="Corbel"/>
                <w:b w:val="false"/>
                <w:b w:val="false"/>
                <w:szCs w:val="24"/>
              </w:rPr>
            </w:pPr>
            <w:r>
              <w:rPr>
                <w:rFonts w:ascii="Corbel" w:hAnsi="Corbel"/>
                <w:b w:val="false"/>
                <w:szCs w:val="24"/>
              </w:rPr>
              <w:t>Gluchman, V., Etika konzekvencializmu. Prešov 1995.</w:t>
            </w:r>
          </w:p>
          <w:p>
            <w:pPr>
              <w:pStyle w:val="Punktygwne"/>
              <w:spacing w:before="0" w:after="0"/>
              <w:rPr/>
            </w:pPr>
            <w:r>
              <w:rPr>
                <w:rFonts w:ascii="Corbel" w:hAnsi="Corbel"/>
                <w:b w:val="false"/>
                <w:szCs w:val="24"/>
              </w:rPr>
              <w:t>mill, j. s., utilitarianism (</w:t>
            </w:r>
            <w:hyperlink r:id="rId2" w:tgtFrame="_blank">
              <w:r>
                <w:rPr>
                  <w:rStyle w:val="InternetLink"/>
                  <w:sz w:val="22"/>
                </w:rPr>
                <w:t>https://www.gutenberg.org/</w:t>
              </w:r>
            </w:hyperlink>
            <w:r>
              <w:rPr>
                <w:sz w:val="22"/>
              </w:rPr>
              <w:t>)</w:t>
            </w:r>
          </w:p>
          <w:p>
            <w:pPr>
              <w:pStyle w:val="Punktygwne"/>
              <w:spacing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eastAsia="pl-PL"/>
              </w:rPr>
            </w:r>
          </w:p>
        </w:tc>
      </w:tr>
      <w:tr>
        <w:trPr>
          <w:trHeight w:val="532" w:hRule="atLeast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Punktygwne"/>
              <w:spacing w:lineRule="auto" w:line="240" w:before="0" w:after="0"/>
              <w:rPr>
                <w:rFonts w:ascii="Corbel" w:hAnsi="Corbel" w:cs="Tahoma"/>
                <w:b w:val="false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</w:pPr>
            <w:r>
              <w:rPr>
                <w:rFonts w:cs="Tahoma" w:ascii="Corbel" w:hAnsi="Corbel"/>
                <w:b w:val="false"/>
                <w:caps w:val="false"/>
                <w:smallCaps w:val="false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>
            <w:pPr>
              <w:pStyle w:val="Normal"/>
              <w:spacing w:lineRule="auto" w:line="240" w:before="0" w:after="12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Gluchman, V. (ed.), </w:t>
            </w:r>
            <w:r>
              <w:rPr>
                <w:rFonts w:ascii="Corbel" w:hAnsi="Corbel"/>
                <w:i/>
                <w:szCs w:val="24"/>
                <w:lang w:val="en-US"/>
              </w:rPr>
              <w:t>Ethics of Social Consequences: Philosophical, Applied and Professional Challenges</w:t>
            </w:r>
            <w:r>
              <w:rPr>
                <w:rFonts w:ascii="Corbel" w:hAnsi="Corbel"/>
                <w:szCs w:val="24"/>
                <w:lang w:val="en-US"/>
              </w:rPr>
              <w:t>. Newcastle 2018.</w:t>
            </w:r>
          </w:p>
          <w:p>
            <w:pPr>
              <w:pStyle w:val="Normal"/>
              <w:spacing w:lineRule="auto" w:line="240" w:before="0" w:after="120"/>
              <w:rPr/>
            </w:pPr>
            <w:r>
              <w:rPr>
                <w:rFonts w:ascii="Corbel" w:hAnsi="Corbel"/>
                <w:i/>
                <w:szCs w:val="24"/>
                <w:lang w:val="en-US"/>
              </w:rPr>
              <w:t xml:space="preserve">Ethics &amp; </w:t>
            </w:r>
            <w:r>
              <w:rPr>
                <w:rFonts w:ascii="Corbel" w:hAnsi="Corbel"/>
                <w:i/>
                <w:szCs w:val="24"/>
                <w:lang w:val="sk-SK"/>
              </w:rPr>
              <w:t>Bioethics (in Central Europe)</w:t>
            </w:r>
            <w:r>
              <w:rPr>
                <w:rFonts w:ascii="Corbel" w:hAnsi="Corbel"/>
                <w:szCs w:val="24"/>
                <w:lang w:val="sk-SK"/>
              </w:rPr>
              <w:t xml:space="preserve"> (</w:t>
            </w:r>
            <w:hyperlink r:id="rId3">
              <w:r>
                <w:rPr>
                  <w:rStyle w:val="InternetLink"/>
                  <w:rFonts w:ascii="Corbel" w:hAnsi="Corbel"/>
                  <w:szCs w:val="24"/>
                  <w:lang w:val="sk-SK"/>
                </w:rPr>
                <w:t>https://sciendo.com/journal/EBCE</w:t>
              </w:r>
            </w:hyperlink>
            <w:r>
              <w:rPr>
                <w:rFonts w:ascii="Corbel" w:hAnsi="Corbel"/>
                <w:szCs w:val="24"/>
                <w:lang w:val="sk-SK"/>
              </w:rPr>
              <w:t>)</w:t>
            </w:r>
          </w:p>
          <w:p>
            <w:pPr>
              <w:pStyle w:val="Normal"/>
              <w:spacing w:lineRule="auto" w:line="240" w:before="0" w:after="12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Grzybek, G., </w:t>
            </w:r>
            <w:r>
              <w:rPr>
                <w:rFonts w:ascii="Corbel" w:hAnsi="Corbel"/>
                <w:i/>
                <w:szCs w:val="24"/>
              </w:rPr>
              <w:t>Etyka rozwoju a pedagogika opiekuńcza</w:t>
            </w:r>
            <w:r>
              <w:rPr>
                <w:rFonts w:ascii="Corbel" w:hAnsi="Corbel"/>
                <w:szCs w:val="24"/>
              </w:rPr>
              <w:t>. Rzeszów 2013.</w:t>
            </w:r>
          </w:p>
          <w:p>
            <w:pPr>
              <w:pStyle w:val="Normal"/>
              <w:spacing w:lineRule="auto" w:line="240" w:before="0" w:after="12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Grzybek, G., </w:t>
            </w:r>
            <w:r>
              <w:rPr>
                <w:rFonts w:eastAsia="Times New Roman" w:ascii="Corbel" w:hAnsi="Corbel"/>
                <w:szCs w:val="24"/>
                <w:lang w:eastAsia="sk-SK"/>
              </w:rPr>
              <w:t>Prawa moralne – etyka społecznych konsekwencji a etyka rozwoju</w:t>
            </w:r>
            <w:r>
              <w:rPr>
                <w:rFonts w:ascii="Corbel" w:hAnsi="Corbel"/>
                <w:szCs w:val="24"/>
              </w:rPr>
              <w:t xml:space="preserve">. In: R. Monia – A. Kobyliński, eds., </w:t>
            </w:r>
            <w:r>
              <w:rPr>
                <w:rFonts w:ascii="Corbel" w:hAnsi="Corbel"/>
                <w:i/>
                <w:szCs w:val="24"/>
              </w:rPr>
              <w:t>Prawa człowieka i świat wartości</w:t>
            </w:r>
            <w:r>
              <w:rPr>
                <w:rFonts w:ascii="Corbel" w:hAnsi="Corbel"/>
                <w:szCs w:val="24"/>
              </w:rPr>
              <w:t>. Warszawa 2011, s. 221-230.</w:t>
            </w:r>
          </w:p>
          <w:p>
            <w:pPr>
              <w:pStyle w:val="Normal"/>
              <w:spacing w:lineRule="auto" w:line="240" w:before="0" w:after="120"/>
              <w:rPr>
                <w:rStyle w:val="Emphasis"/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Dubiel-Zielińska, P., </w:t>
            </w:r>
            <w:r>
              <w:rPr>
                <w:rStyle w:val="Emphasis"/>
                <w:rFonts w:ascii="Corbel" w:hAnsi="Corbel"/>
                <w:szCs w:val="24"/>
              </w:rPr>
              <w:t xml:space="preserve">Teoria dopełnień. Pomiędzy nieutylitarystycznym konsekwencjalizmem a personalizmem i perfekcjonizmem. Rzeszów 2015. </w:t>
            </w:r>
          </w:p>
          <w:p>
            <w:pPr>
              <w:pStyle w:val="Normal"/>
              <w:spacing w:lineRule="auto" w:line="240" w:before="0" w:after="120"/>
              <w:rPr>
                <w:rFonts w:ascii="Corbel" w:hAnsi="Corbel" w:cs="Tahoma"/>
                <w:b/>
                <w:b/>
                <w:smallCap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 xml:space="preserve">Dubiel-Zielińska, P., </w:t>
            </w:r>
            <w:r>
              <w:rPr>
                <w:rStyle w:val="Emphasis"/>
                <w:rFonts w:ascii="Corbel" w:hAnsi="Corbel"/>
                <w:szCs w:val="24"/>
              </w:rPr>
              <w:t>Teoria dopełnień i jej miejsce w etyce zawodowej</w:t>
            </w:r>
            <w:r>
              <w:rPr>
                <w:rFonts w:ascii="Corbel" w:hAnsi="Corbel"/>
                <w:szCs w:val="24"/>
              </w:rPr>
              <w:t xml:space="preserve">. Kraków – Rzeszów 2017. </w:t>
            </w:r>
          </w:p>
        </w:tc>
      </w:tr>
    </w:tbl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</w:r>
    </w:p>
    <w:p>
      <w:pPr>
        <w:pStyle w:val="Punktygwne"/>
        <w:spacing w:before="0" w:after="0"/>
        <w:ind w:left="360" w:hanging="0"/>
        <w:rPr>
          <w:rFonts w:ascii="Corbel" w:hAnsi="Corbel" w:cs="Tahoma"/>
          <w:b w:val="false"/>
          <w:b w:val="false"/>
          <w:caps w:val="false"/>
          <w:smallCaps w:val="false"/>
          <w:color w:val="auto"/>
          <w:szCs w:val="24"/>
          <w:lang w:val="en-GB"/>
        </w:rPr>
      </w:pPr>
      <w:r>
        <w:rPr>
          <w:rFonts w:cs="Tahoma" w:ascii="Corbel" w:hAnsi="Corbel"/>
          <w:b w:val="false"/>
          <w:caps w:val="false"/>
          <w:smallCaps w:val="false"/>
          <w:color w:val="auto"/>
          <w:szCs w:val="24"/>
          <w:lang w:val="en-GB"/>
        </w:rPr>
        <w:t>Approved by the Head of the Department or an authorised person</w:t>
      </w:r>
    </w:p>
    <w:p>
      <w:pPr>
        <w:pStyle w:val="Normal"/>
        <w:rPr>
          <w:rFonts w:ascii="Corbel" w:hAnsi="Corbel"/>
          <w:color w:val="auto"/>
          <w:lang w:val="en-US"/>
        </w:rPr>
      </w:pPr>
      <w:r>
        <w:rPr>
          <w:rFonts w:ascii="Corbel" w:hAnsi="Corbel"/>
          <w:color w:val="auto"/>
          <w:lang w:val="en-US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709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rbe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lineRule="auto" w:line="240" w:before="0" w:after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sz w:val="24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3310d"/>
    <w:pPr>
      <w:widowControl/>
      <w:suppressAutoHyphens w:val="true"/>
      <w:bidi w:val="0"/>
      <w:spacing w:lineRule="auto" w:line="276" w:before="0" w:after="200"/>
      <w:jc w:val="left"/>
    </w:pPr>
    <w:rPr>
      <w:rFonts w:eastAsia="Calibri" w:ascii="Times New Roman" w:hAnsi="Times New Roman" w:cs="Times New Roman"/>
      <w:color w:val="00000A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Char" w:customStyle="1">
    <w:name w:val="Päta Char"/>
    <w:basedOn w:val="DefaultParagraphFont"/>
    <w:link w:val="Pta"/>
    <w:uiPriority w:val="99"/>
    <w:qFormat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qFormat/>
    <w:rsid w:val="00b3310d"/>
    <w:rPr/>
  </w:style>
  <w:style w:type="character" w:styleId="TekstpodstawowyZnak" w:customStyle="1">
    <w:name w:val="Tekst podstawowy Znak"/>
    <w:basedOn w:val="DefaultParagraphFont"/>
    <w:link w:val="Tretekstu"/>
    <w:uiPriority w:val="99"/>
    <w:semiHidden/>
    <w:qFormat/>
    <w:rsid w:val="00b3310d"/>
    <w:rPr>
      <w:rFonts w:eastAsia="Calibri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3ea7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Textkomentra"/>
    <w:uiPriority w:val="99"/>
    <w:semiHidden/>
    <w:qFormat/>
    <w:rsid w:val="00783ea7"/>
    <w:rPr>
      <w:rFonts w:eastAsia="Calibri"/>
      <w:sz w:val="20"/>
      <w:szCs w:val="20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qFormat/>
    <w:rsid w:val="00783ea7"/>
    <w:rPr>
      <w:rFonts w:eastAsia="Calibri"/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83ea7"/>
    <w:rPr>
      <w:rFonts w:ascii="Tahoma" w:hAnsi="Tahoma" w:eastAsia="Calibri" w:cs="Tahoma"/>
      <w:sz w:val="16"/>
      <w:szCs w:val="16"/>
    </w:rPr>
  </w:style>
  <w:style w:type="character" w:styleId="ListLabel1" w:customStyle="1">
    <w:name w:val="ListLabel 1"/>
    <w:qFormat/>
    <w:rPr>
      <w:b/>
      <w:color w:val="00000A"/>
    </w:rPr>
  </w:style>
  <w:style w:type="character" w:styleId="ListLabel2" w:customStyle="1">
    <w:name w:val="ListLabel 2"/>
    <w:qFormat/>
    <w:rPr>
      <w:i w:val="false"/>
    </w:rPr>
  </w:style>
  <w:style w:type="character" w:styleId="ListLabel3" w:customStyle="1">
    <w:name w:val="ListLabel 3"/>
    <w:qFormat/>
    <w:rPr>
      <w:b w:val="false"/>
      <w:i w:val="false"/>
      <w:color w:val="00000A"/>
    </w:rPr>
  </w:style>
  <w:style w:type="character" w:styleId="ListLabel4" w:customStyle="1">
    <w:name w:val="ListLabel 4"/>
    <w:qFormat/>
    <w:rPr>
      <w:color w:val="00000A"/>
    </w:rPr>
  </w:style>
  <w:style w:type="character" w:styleId="ListLabel5" w:customStyle="1">
    <w:name w:val="ListLabel 5"/>
    <w:qFormat/>
    <w:rPr>
      <w:b/>
      <w:i w:val="false"/>
      <w:color w:val="00000A"/>
    </w:rPr>
  </w:style>
  <w:style w:type="character" w:styleId="ListLabel6" w:customStyle="1">
    <w:name w:val="ListLabel 6"/>
    <w:qFormat/>
    <w:rPr>
      <w:color w:val="00000A"/>
      <w:sz w:val="24"/>
    </w:rPr>
  </w:style>
  <w:style w:type="character" w:styleId="ListLabel7" w:customStyle="1">
    <w:name w:val="ListLabel 7"/>
    <w:qFormat/>
    <w:rPr>
      <w:b/>
      <w:color w:val="00000A"/>
    </w:rPr>
  </w:style>
  <w:style w:type="character" w:styleId="ListLabel8" w:customStyle="1">
    <w:name w:val="ListLabel 8"/>
    <w:qFormat/>
    <w:rPr>
      <w:i w:val="false"/>
    </w:rPr>
  </w:style>
  <w:style w:type="character" w:styleId="ListLabel9" w:customStyle="1">
    <w:name w:val="ListLabel 9"/>
    <w:qFormat/>
    <w:rPr>
      <w:b w:val="false"/>
      <w:i w:val="false"/>
      <w:color w:val="00000A"/>
    </w:rPr>
  </w:style>
  <w:style w:type="character" w:styleId="ListLabel10" w:customStyle="1">
    <w:name w:val="ListLabel 10"/>
    <w:qFormat/>
    <w:rPr>
      <w:color w:val="00000A"/>
      <w:sz w:val="24"/>
    </w:rPr>
  </w:style>
  <w:style w:type="character" w:styleId="Emphasis">
    <w:name w:val="Emphasis"/>
    <w:basedOn w:val="DefaultParagraphFont"/>
    <w:uiPriority w:val="20"/>
    <w:qFormat/>
    <w:rsid w:val="008123d5"/>
    <w:rPr>
      <w:i/>
      <w:iCs/>
    </w:rPr>
  </w:style>
  <w:style w:type="character" w:styleId="InternetLink">
    <w:name w:val="Internet Link"/>
    <w:basedOn w:val="DefaultParagraphFont"/>
    <w:uiPriority w:val="99"/>
    <w:unhideWhenUsed/>
    <w:rsid w:val="006a69ba"/>
    <w:rPr>
      <w:color w:val="0000FF"/>
      <w:u w:val="single"/>
    </w:rPr>
  </w:style>
  <w:style w:type="character" w:styleId="ListLabel11">
    <w:name w:val="ListLabel 11"/>
    <w:qFormat/>
    <w:rPr>
      <w:b/>
      <w:color w:val="00000A"/>
    </w:rPr>
  </w:style>
  <w:style w:type="character" w:styleId="ListLabel12">
    <w:name w:val="ListLabel 12"/>
    <w:qFormat/>
    <w:rPr>
      <w:i w:val="false"/>
    </w:rPr>
  </w:style>
  <w:style w:type="character" w:styleId="ListLabel13">
    <w:name w:val="ListLabel 13"/>
    <w:qFormat/>
    <w:rPr>
      <w:b/>
      <w:i w:val="false"/>
      <w:color w:val="00000A"/>
    </w:rPr>
  </w:style>
  <w:style w:type="character" w:styleId="ListLabel14">
    <w:name w:val="ListLabel 14"/>
    <w:qFormat/>
    <w:rPr>
      <w:color w:val="00000A"/>
      <w:sz w:val="24"/>
    </w:rPr>
  </w:style>
  <w:style w:type="character" w:styleId="ListLabel15">
    <w:name w:val="ListLabel 15"/>
    <w:qFormat/>
    <w:rPr>
      <w:sz w:val="22"/>
    </w:rPr>
  </w:style>
  <w:style w:type="character" w:styleId="ListLabel16">
    <w:name w:val="ListLabel 16"/>
    <w:qFormat/>
    <w:rPr>
      <w:rFonts w:ascii="Corbel" w:hAnsi="Corbel"/>
      <w:szCs w:val="24"/>
      <w:lang w:val="sk-SK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Treść tekstu"/>
    <w:basedOn w:val="Normal"/>
    <w:link w:val="TekstpodstawowyZnak"/>
    <w:uiPriority w:val="99"/>
    <w:semiHidden/>
    <w:unhideWhenUsed/>
    <w:qFormat/>
    <w:rsid w:val="00b3310d"/>
    <w:pPr>
      <w:spacing w:lineRule="auto" w:line="288" w:before="0" w:after="120"/>
    </w:pPr>
    <w:rPr/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spacing w:before="0" w:after="200"/>
      <w:ind w:left="720" w:hanging="0"/>
      <w:contextualSpacing/>
    </w:pPr>
    <w:rPr/>
  </w:style>
  <w:style w:type="paragraph" w:styleId="Footer">
    <w:name w:val="Footer"/>
    <w:basedOn w:val="Normal"/>
    <w:link w:val="PtaChar"/>
    <w:uiPriority w:val="99"/>
    <w:rsid w:val="00b3310d"/>
    <w:pPr>
      <w:tabs>
        <w:tab w:val="center" w:pos="4536" w:leader="none"/>
        <w:tab w:val="right" w:pos="9072" w:leader="none"/>
      </w:tabs>
    </w:pPr>
    <w:rPr/>
  </w:style>
  <w:style w:type="paragraph" w:styleId="Punktygwne" w:customStyle="1">
    <w:name w:val="Punkty główne"/>
    <w:basedOn w:val="Normal"/>
    <w:qFormat/>
    <w:rsid w:val="00b3310d"/>
    <w:pPr>
      <w:spacing w:lineRule="auto" w:line="240" w:before="240" w:after="60"/>
    </w:pPr>
    <w:rPr>
      <w:b/>
      <w:smallCaps/>
    </w:rPr>
  </w:style>
  <w:style w:type="paragraph" w:styleId="Pytania" w:customStyle="1">
    <w:name w:val="Pytania"/>
    <w:basedOn w:val="Tretekstu"/>
    <w:qFormat/>
    <w:rsid w:val="00b3310d"/>
    <w:pPr>
      <w:tabs>
        <w:tab w:val="left" w:pos="-5643" w:leader="none"/>
      </w:tabs>
      <w:overflowPunct w:val="true"/>
      <w:spacing w:lineRule="auto" w:line="240" w:before="40" w:after="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Odpowiedzi" w:customStyle="1">
    <w:name w:val="Odpowiedzi"/>
    <w:basedOn w:val="Normal"/>
    <w:qFormat/>
    <w:rsid w:val="00b3310d"/>
    <w:pPr>
      <w:spacing w:lineRule="auto" w:line="240" w:before="40" w:after="40"/>
    </w:pPr>
    <w:rPr>
      <w:b/>
      <w:color w:val="000000"/>
      <w:sz w:val="20"/>
    </w:rPr>
  </w:style>
  <w:style w:type="paragraph" w:styleId="Podpunkty" w:customStyle="1">
    <w:name w:val="Podpunkty"/>
    <w:basedOn w:val="Tretekstu"/>
    <w:qFormat/>
    <w:rsid w:val="00b3310d"/>
    <w:pPr>
      <w:tabs>
        <w:tab w:val="left" w:pos="-5814" w:leader="none"/>
      </w:tabs>
      <w:overflowPunct w:val="true"/>
      <w:spacing w:lineRule="auto" w:line="240" w:before="0" w:after="0"/>
      <w:ind w:left="360" w:hanging="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styleId="Cele" w:customStyle="1">
    <w:name w:val="Cele"/>
    <w:basedOn w:val="Tretekstu"/>
    <w:qFormat/>
    <w:rsid w:val="00b3310d"/>
    <w:pPr>
      <w:tabs>
        <w:tab w:val="left" w:pos="-5814" w:leader="none"/>
        <w:tab w:val="left" w:pos="720" w:leader="none"/>
      </w:tabs>
      <w:overflowPunct w:val="true"/>
      <w:spacing w:lineRule="auto" w:line="240" w:before="120" w:after="0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styleId="Nagwkitablic" w:customStyle="1">
    <w:name w:val="Nagłówki tablic"/>
    <w:basedOn w:val="Tretekstu"/>
    <w:uiPriority w:val="99"/>
    <w:qFormat/>
    <w:rsid w:val="00b3310d"/>
    <w:pPr/>
    <w:rPr/>
  </w:style>
  <w:style w:type="paragraph" w:styleId="Centralniewrubryce" w:customStyle="1">
    <w:name w:val="centralnie w rubryce"/>
    <w:basedOn w:val="Normal"/>
    <w:qFormat/>
    <w:rsid w:val="00b3310d"/>
    <w:pPr>
      <w:tabs>
        <w:tab w:val="left" w:pos="-5814" w:leader="none"/>
      </w:tabs>
      <w:overflowPunct w:val="true"/>
      <w:spacing w:lineRule="auto" w:line="240" w:before="40" w:after="40"/>
      <w:jc w:val="center"/>
    </w:pPr>
    <w:rPr>
      <w:rFonts w:eastAsia="Times New Roman"/>
      <w:sz w:val="20"/>
      <w:szCs w:val="20"/>
      <w:lang w:eastAsia="pl-PL"/>
    </w:rPr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783ea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redmetkomentraChar"/>
    <w:uiPriority w:val="99"/>
    <w:semiHidden/>
    <w:unhideWhenUsed/>
    <w:qFormat/>
    <w:rsid w:val="00783ea7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83e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b3310d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utenberg.org/" TargetMode="External"/><Relationship Id="rId3" Type="http://schemas.openxmlformats.org/officeDocument/2006/relationships/hyperlink" Target="https://sciendo.com/journal/EBCE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EE6AA-1DED-40EF-8B47-E4516FDD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7</Pages>
  <Words>854</Words>
  <Characters>5329</Characters>
  <CharactersWithSpaces>6164</CharactersWithSpaces>
  <Paragraphs>158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2023-02-23T18:02:00Z</dcterms:created>
  <dc:creator>User</dc:creator>
  <dc:description/>
  <dc:language>pl-PL</dc:language>
  <cp:lastModifiedBy>ASUS STRYX</cp:lastModifiedBy>
  <cp:lastPrinted>2017-07-04T06:31:00Z</cp:lastPrinted>
  <dcterms:modified xsi:type="dcterms:W3CDTF">2023-02-24T14:43:00Z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