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orbel" w:hAnsi="Corbel" w:cs="Tahoma"/>
          <w:color w:val="auto"/>
          <w:lang w:val="en-GB"/>
        </w:rPr>
      </w:pPr>
      <w:r>
        <w:rPr>
          <w:rFonts w:cs="Tahoma" w:ascii="Corbel" w:hAnsi="Corbel"/>
          <w:color w:val="auto"/>
          <w:lang w:val="en-GB"/>
        </w:rPr>
      </w:r>
    </w:p>
    <w:p>
      <w:pPr>
        <w:pStyle w:val="Normal"/>
        <w:spacing w:lineRule="auto" w:line="240" w:before="0" w:after="0"/>
        <w:jc w:val="center"/>
        <w:rPr>
          <w:rFonts w:ascii="Corbel" w:hAnsi="Corbel" w:cs="Tahoma"/>
          <w:b/>
          <w:b/>
          <w:smallCaps/>
          <w:color w:val="auto"/>
          <w:sz w:val="36"/>
          <w:lang w:val="en-GB"/>
        </w:rPr>
      </w:pPr>
      <w:r>
        <w:rPr>
          <w:rFonts w:cs="Tahoma" w:ascii="Corbel" w:hAnsi="Corbel"/>
          <w:b/>
          <w:smallCaps/>
          <w:color w:val="auto"/>
          <w:sz w:val="36"/>
          <w:lang w:val="en-GB"/>
        </w:rPr>
        <w:t>SYLLABUS</w:t>
      </w:r>
    </w:p>
    <w:p>
      <w:pPr>
        <w:pStyle w:val="Normal"/>
        <w:spacing w:lineRule="auto" w:line="240" w:before="0" w:after="0"/>
        <w:jc w:val="center"/>
        <w:rPr>
          <w:rFonts w:ascii="Corbel" w:hAnsi="Corbel" w:cs="Tahoma"/>
          <w:b/>
          <w:b/>
          <w:bCs/>
          <w:smallCaps/>
          <w:color w:val="auto"/>
          <w:szCs w:val="24"/>
          <w:lang w:val="en-GB"/>
        </w:rPr>
      </w:pPr>
      <w:r>
        <w:rPr>
          <w:rFonts w:cs="Tahoma" w:ascii="Corbel" w:hAnsi="Corbel"/>
          <w:b/>
          <w:bCs/>
          <w:smallCaps/>
          <w:color w:val="auto"/>
          <w:szCs w:val="24"/>
          <w:lang w:val="en-GB"/>
        </w:rPr>
        <w:t>regarding the qualification cycle FROM  2023 TO 2024</w:t>
      </w:r>
    </w:p>
    <w:p>
      <w:pPr>
        <w:pStyle w:val="Normal"/>
        <w:tabs>
          <w:tab w:val="left" w:pos="6405" w:leader="none"/>
        </w:tabs>
        <w:spacing w:lineRule="auto" w:line="240" w:before="0" w:after="0"/>
        <w:jc w:val="center"/>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color w:val="auto"/>
          <w:szCs w:val="24"/>
          <w:lang w:val="en-US"/>
        </w:rPr>
      </w:pPr>
      <w:r>
        <w:rPr>
          <w:rFonts w:cs="Tahoma" w:ascii="Corbel" w:hAnsi="Corbel"/>
          <w:color w:val="auto"/>
          <w:szCs w:val="24"/>
          <w:lang w:val="en-GB"/>
        </w:rPr>
        <w:t xml:space="preserve">1. Basic Course/Module Information </w:t>
      </w:r>
    </w:p>
    <w:tbl>
      <w:tblPr>
        <w:tblW w:w="9667" w:type="dxa"/>
        <w:jc w:val="left"/>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2814"/>
        <w:gridCol w:w="6852"/>
      </w:tblGrid>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Communication Ethics</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US"/>
              </w:rPr>
            </w:pPr>
            <w:r>
              <w:rPr>
                <w:rFonts w:cs="Tahoma" w:ascii="Corbel" w:hAnsi="Corbel"/>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rFonts w:ascii="Corbel" w:hAnsi="Corbel" w:cs="Tahoma"/>
                <w:b w:val="false"/>
                <w:b w:val="false"/>
                <w:i/>
                <w:i/>
                <w:color w:val="auto"/>
                <w:sz w:val="24"/>
                <w:szCs w:val="24"/>
                <w:lang w:val="en-US"/>
              </w:rPr>
            </w:pPr>
            <w:r>
              <w:rPr>
                <w:rFonts w:cs="Tahoma" w:ascii="Corbel" w:hAnsi="Corbel"/>
                <w:b w:val="false"/>
                <w:i/>
                <w:color w:val="auto"/>
                <w:sz w:val="24"/>
                <w:szCs w:val="24"/>
                <w:lang w:val="en-GB"/>
              </w:rPr>
              <w:t>College of Humanities</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Institute of Philosophy</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Intercultural Communication (&amp;Philosophy as elective)</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BA</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general academic</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stationary</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2nd year, summer term</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Mandatory (elective as variant)</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rFonts w:ascii="Corbel" w:hAnsi="Corbel" w:cs="Tahoma"/>
                <w:b w:val="false"/>
                <w:b w:val="false"/>
                <w:color w:val="auto"/>
                <w:sz w:val="24"/>
                <w:szCs w:val="24"/>
                <w:lang w:val="en-GB"/>
              </w:rPr>
            </w:pPr>
            <w:r>
              <w:rPr>
                <w:rFonts w:cs="Tahoma" w:ascii="Corbel" w:hAnsi="Corbel"/>
                <w:b w:val="false"/>
                <w:i/>
                <w:color w:val="auto"/>
                <w:sz w:val="24"/>
                <w:szCs w:val="24"/>
                <w:lang w:val="en-GB"/>
              </w:rPr>
              <w:t>English/Polish</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Adam Kubiak (PhD)</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Adam Kubiak (PhD)</w:t>
            </w:r>
          </w:p>
        </w:tc>
      </w:tr>
    </w:tbl>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b w:val="false"/>
          <w:b w:val="false"/>
          <w:color w:val="auto"/>
          <w:sz w:val="24"/>
          <w:szCs w:val="24"/>
          <w:lang w:val="en-GB"/>
        </w:rPr>
      </w:pPr>
      <w:r>
        <w:rPr>
          <w:rFonts w:cs="Tahoma" w:ascii="Corbel" w:hAnsi="Corbel"/>
          <w:b w:val="false"/>
          <w:color w:val="auto"/>
          <w:sz w:val="24"/>
          <w:szCs w:val="24"/>
          <w:lang w:val="en-GB"/>
        </w:rPr>
        <w:t>* - as agreed at the faculty</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numPr>
          <w:ilvl w:val="1"/>
          <w:numId w:val="3"/>
        </w:numPr>
        <w:jc w:val="left"/>
        <w:rPr>
          <w:rFonts w:ascii="Corbel" w:hAnsi="Corbel" w:cs="Tahoma"/>
          <w:color w:val="auto"/>
          <w:sz w:val="24"/>
          <w:szCs w:val="24"/>
          <w:lang w:val="en-GB"/>
        </w:rPr>
      </w:pPr>
      <w:r>
        <w:rPr>
          <w:rFonts w:cs="Tahoma" w:ascii="Corbel" w:hAnsi="Corbel"/>
          <w:color w:val="auto"/>
          <w:sz w:val="24"/>
          <w:szCs w:val="24"/>
          <w:lang w:val="en-GB"/>
        </w:rPr>
        <w:t xml:space="preserve">Learning format – number of hours and ECTS credits </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tbl>
      <w:tblPr>
        <w:tblW w:w="9633"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1056"/>
        <w:gridCol w:w="949"/>
        <w:gridCol w:w="961"/>
        <w:gridCol w:w="1011"/>
        <w:gridCol w:w="927"/>
        <w:gridCol w:w="988"/>
        <w:gridCol w:w="972"/>
        <w:gridCol w:w="1204"/>
        <w:gridCol w:w="748"/>
        <w:gridCol w:w="816"/>
      </w:tblGrid>
      <w:tr>
        <w:trPr/>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agwkitablic"/>
              <w:jc w:val="center"/>
              <w:rPr>
                <w:rFonts w:ascii="Corbel" w:hAnsi="Corbel" w:cs="Tahoma"/>
                <w:color w:val="auto"/>
                <w:sz w:val="20"/>
                <w:szCs w:val="20"/>
                <w:lang w:val="en-GB" w:eastAsia="pl-PL"/>
              </w:rPr>
            </w:pPr>
            <w:r>
              <w:rPr>
                <w:rFonts w:cs="Tahoma" w:ascii="Corbel" w:hAnsi="Corbel"/>
                <w:color w:val="auto"/>
                <w:sz w:val="20"/>
                <w:szCs w:val="20"/>
                <w:lang w:val="en-GB" w:eastAsia="pl-PL"/>
              </w:rPr>
              <w:t>Semester</w:t>
            </w:r>
          </w:p>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agwkitablic"/>
              <w:spacing w:before="0" w:after="120"/>
              <w:rPr>
                <w:rFonts w:ascii="Corbel" w:hAnsi="Corbel" w:cs="Tahoma"/>
                <w:color w:val="auto"/>
                <w:sz w:val="20"/>
                <w:szCs w:val="20"/>
                <w:lang w:val="en-GB" w:eastAsia="pl-PL"/>
              </w:rPr>
            </w:pPr>
            <w:r>
              <w:rPr>
                <w:rFonts w:cs="Tahoma" w:ascii="Corbel" w:hAnsi="Corbel"/>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jc w:val="center"/>
              <w:rPr>
                <w:rFonts w:ascii="Corbel" w:hAnsi="Corbel" w:cs="Tahoma"/>
                <w:color w:val="auto"/>
                <w:sz w:val="20"/>
                <w:szCs w:val="20"/>
                <w:lang w:val="en-GB" w:eastAsia="pl-PL"/>
              </w:rPr>
            </w:pPr>
            <w:r>
              <w:rPr>
                <w:rFonts w:cs="Tahoma" w:ascii="Corbel" w:hAnsi="Corbel"/>
                <w:color w:val="auto"/>
                <w:sz w:val="20"/>
                <w:szCs w:val="20"/>
                <w:lang w:val="en-GB" w:eastAsia="pl-PL"/>
              </w:rPr>
              <w:t>Lab classes</w:t>
            </w:r>
          </w:p>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r>
          </w:p>
        </w:tc>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rPr>
            </w:pPr>
            <w:r>
              <w:rPr>
                <w:rFonts w:cs="Tahoma" w:ascii="Corbel" w:hAnsi="Corbel"/>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others</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b/>
                <w:b/>
                <w:color w:val="auto"/>
                <w:sz w:val="20"/>
                <w:szCs w:val="20"/>
                <w:lang w:val="en-GB" w:eastAsia="pl-PL"/>
              </w:rPr>
            </w:pPr>
            <w:r>
              <w:rPr>
                <w:rFonts w:cs="Tahoma" w:ascii="Corbel" w:hAnsi="Corbel"/>
                <w:b/>
                <w:color w:val="auto"/>
                <w:sz w:val="20"/>
                <w:szCs w:val="20"/>
                <w:lang w:val="en-GB" w:eastAsia="pl-PL"/>
              </w:rPr>
              <w:t xml:space="preserve">ECTS credits </w:t>
            </w:r>
          </w:p>
        </w:tc>
      </w:tr>
      <w:tr>
        <w:trPr>
          <w:trHeight w:val="453" w:hRule="atLeast"/>
        </w:trPr>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t>2</w:t>
            </w:r>
          </w:p>
        </w:tc>
        <w:tc>
          <w:tcPr>
            <w:tcW w:w="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lang w:val="en-GB"/>
              </w:rPr>
            </w:pPr>
            <w:r>
              <w:rPr>
                <w:rFonts w:eastAsia="Calibri" w:cs="Tahoma" w:ascii="Corbel" w:hAnsi="Corbel"/>
                <w:color w:val="auto"/>
                <w:sz w:val="24"/>
                <w:lang w:val="en-GB"/>
              </w:rPr>
              <w:t>30</w:t>
            </w:r>
          </w:p>
        </w:tc>
        <w:tc>
          <w:tcPr>
            <w:tcW w:w="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0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2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7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t>3</w:t>
            </w:r>
          </w:p>
        </w:tc>
      </w:tr>
    </w:tbl>
    <w:p>
      <w:pPr>
        <w:pStyle w:val="Podpunkty"/>
        <w:rPr>
          <w:rFonts w:ascii="Corbel" w:hAnsi="Corbel" w:cs="Tahoma"/>
          <w:color w:val="auto"/>
          <w:sz w:val="24"/>
          <w:szCs w:val="24"/>
          <w:lang w:val="en-GB" w:eastAsia="en-US"/>
        </w:rPr>
      </w:pPr>
      <w:r>
        <w:rPr>
          <w:rFonts w:cs="Tahoma" w:ascii="Corbel" w:hAnsi="Corbel"/>
          <w:color w:val="auto"/>
          <w:sz w:val="24"/>
          <w:szCs w:val="24"/>
          <w:lang w:val="en-GB" w:eastAsia="en-US"/>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aps w:val="false"/>
          <w:smallCaps w:val="false"/>
          <w:color w:val="auto"/>
          <w:szCs w:val="24"/>
          <w:lang w:val="en-US"/>
        </w:rPr>
      </w:pPr>
      <w:r>
        <w:rPr>
          <w:rFonts w:cs="Tahoma" w:ascii="Corbel" w:hAnsi="Corbel"/>
          <w:caps w:val="false"/>
          <w:smallCaps w:val="false"/>
          <w:color w:val="auto"/>
          <w:szCs w:val="24"/>
          <w:lang w:val="en-GB"/>
        </w:rPr>
        <w:t>1.2. Course delivery methods</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xml:space="preserve">- </w:t>
      </w:r>
      <w:r>
        <w:rPr>
          <w:rFonts w:cs="Tahoma" w:ascii="Corbel" w:hAnsi="Corbel"/>
          <w:caps w:val="false"/>
          <w:smallCaps w:val="false"/>
          <w:color w:val="auto"/>
          <w:szCs w:val="24"/>
          <w:u w:val="single"/>
          <w:lang w:val="en-GB"/>
        </w:rPr>
        <w:t>conducted in a traditional way</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involving distance education</w:t>
      </w:r>
      <w:r>
        <w:rPr>
          <w:rFonts w:cs="Tahoma" w:ascii="Corbel" w:hAnsi="Corbel"/>
          <w:caps w:val="false"/>
          <w:smallCaps w:val="false"/>
          <w:color w:val="auto"/>
          <w:szCs w:val="24"/>
          <w:lang w:val="en-GB"/>
        </w:rPr>
        <w:t xml:space="preserve"> </w:t>
      </w:r>
      <w:r>
        <w:rPr>
          <w:rFonts w:cs="Tahoma" w:ascii="Corbel" w:hAnsi="Corbel"/>
          <w:b w:val="false"/>
          <w:caps w:val="false"/>
          <w:smallCaps w:val="false"/>
          <w:color w:val="auto"/>
          <w:szCs w:val="24"/>
          <w:lang w:val="en-GB"/>
        </w:rPr>
        <w:t>methods and techniques</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caps w:val="false"/>
          <w:smallCaps w:val="false"/>
          <w:color w:val="auto"/>
          <w:szCs w:val="24"/>
          <w:lang w:val="en-GB"/>
        </w:rPr>
        <w:t>1.3. Course/Module assessmen</w:t>
      </w:r>
      <w:r>
        <w:rPr>
          <w:rFonts w:cs="Tahoma" w:ascii="Corbel" w:hAnsi="Corbel"/>
          <w:bCs/>
          <w:caps w:val="false"/>
          <w:smallCaps w:val="false"/>
          <w:color w:val="auto"/>
          <w:szCs w:val="24"/>
          <w:lang w:val="en-GB"/>
        </w:rPr>
        <w:t xml:space="preserve">t </w:t>
      </w:r>
      <w:r>
        <w:rPr>
          <w:rFonts w:cs="Tahoma" w:ascii="Corbel" w:hAnsi="Corbel"/>
          <w:b w:val="false"/>
          <w:caps w:val="false"/>
          <w:smallCaps w:val="false"/>
          <w:color w:val="auto"/>
          <w:szCs w:val="24"/>
          <w:lang w:val="en-GB"/>
        </w:rPr>
        <w:t xml:space="preserve">(exam, pass with a grade, pass without a grade)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caps w:val="false"/>
          <w:smallCaps w:val="false"/>
          <w:color w:val="auto"/>
          <w:szCs w:val="24"/>
          <w:lang w:val="en-GB"/>
        </w:rPr>
        <w:t>exam</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 xml:space="preserve">2. Prerequisites </w:t>
      </w:r>
    </w:p>
    <w:tbl>
      <w:tblPr>
        <w:tblW w:w="9633"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9633"/>
      </w:tblGrid>
      <w:tr>
        <w:trPr/>
        <w:tc>
          <w:tcPr>
            <w:tcW w:w="9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40" w:after="40"/>
              <w:rPr>
                <w:lang w:val="en-GB"/>
              </w:rPr>
            </w:pPr>
            <w:r>
              <w:rPr>
                <w:rFonts w:cs="Tahoma" w:ascii="Corbel" w:hAnsi="Corbel"/>
                <w:b w:val="false"/>
                <w:caps w:val="false"/>
                <w:smallCaps w:val="false"/>
                <w:color w:val="auto"/>
                <w:szCs w:val="20"/>
                <w:lang w:val="en-GB" w:eastAsia="pl-PL"/>
              </w:rPr>
              <w:t>Basic knowledge (high-school level) of history, culture and social relationships.</w:t>
            </w:r>
          </w:p>
        </w:tc>
      </w:tr>
    </w:tbl>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3. Objectives, Learning Outcomes, Course Content, and Instructional Methods</w:t>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odpunkty"/>
        <w:ind w:left="0" w:hanging="0"/>
        <w:jc w:val="left"/>
        <w:rPr>
          <w:rFonts w:ascii="Corbel" w:hAnsi="Corbel" w:cs="Tahoma"/>
          <w:color w:val="auto"/>
          <w:sz w:val="24"/>
          <w:szCs w:val="24"/>
          <w:lang w:val="en-GB"/>
        </w:rPr>
      </w:pPr>
      <w:r>
        <w:rPr>
          <w:rFonts w:ascii="Corbel" w:hAnsi="Corbel"/>
          <w:color w:val="auto"/>
          <w:szCs w:val="24"/>
          <w:lang w:val="en-GB"/>
        </w:rPr>
        <w:t xml:space="preserve">3.1. </w:t>
      </w:r>
      <w:r>
        <w:rPr>
          <w:rFonts w:cs="Tahoma" w:ascii="Corbel" w:hAnsi="Corbel"/>
          <w:color w:val="auto"/>
          <w:sz w:val="24"/>
          <w:szCs w:val="24"/>
          <w:lang w:val="en-GB"/>
        </w:rPr>
        <w:t>Course/Module objectives</w:t>
      </w:r>
    </w:p>
    <w:tbl>
      <w:tblPr>
        <w:tblW w:w="9633"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670"/>
        <w:gridCol w:w="8962"/>
      </w:tblGrid>
      <w:tr>
        <w:trPr/>
        <w:tc>
          <w:tcPr>
            <w:tcW w:w="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lang w:val="en-GB"/>
              </w:rPr>
            </w:pPr>
            <w:r>
              <w:rPr>
                <w:lang w:val="en-GB"/>
              </w:rPr>
            </w:r>
          </w:p>
        </w:tc>
        <w:tc>
          <w:tcPr>
            <w:tcW w:w="8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lang w:val="en-GB"/>
              </w:rPr>
            </w:pPr>
            <w:r>
              <w:rPr>
                <w:lang w:val="en-GB"/>
              </w:rPr>
              <w:t>General description:</w:t>
            </w:r>
          </w:p>
          <w:p>
            <w:pPr>
              <w:pStyle w:val="Podpunkty"/>
              <w:spacing w:before="40" w:after="40"/>
              <w:ind w:left="0" w:hanging="0"/>
              <w:jc w:val="left"/>
              <w:rPr>
                <w:rFonts w:ascii="Arial" w:hAnsi="Arial"/>
                <w:b w:val="false"/>
                <w:b w:val="false"/>
                <w:bCs w:val="false"/>
                <w:lang w:val="en-GB"/>
              </w:rPr>
            </w:pPr>
            <w:r>
              <w:rPr>
                <w:rFonts w:ascii="Arial" w:hAnsi="Arial"/>
                <w:b w:val="false"/>
                <w:bCs w:val="false"/>
                <w:lang w:val="en-GB"/>
              </w:rPr>
              <w:t>The main goal of the course is an introduction to the topic of the communication ethics. The course is presented in the mixed form (lecture with activities). During these activities participants will be familiarized with primary concepts of the communication ethics, theirs applications within classical frameworks (virtue ethics, formal ethics, utilitarianism,</w:t>
            </w:r>
          </w:p>
          <w:p>
            <w:pPr>
              <w:pStyle w:val="Podpunkty"/>
              <w:spacing w:before="40" w:after="40"/>
              <w:ind w:left="0" w:hanging="0"/>
              <w:jc w:val="left"/>
              <w:rPr>
                <w:rFonts w:ascii="Arial" w:hAnsi="Arial"/>
                <w:b w:val="false"/>
                <w:b w:val="false"/>
                <w:bCs w:val="false"/>
                <w:lang w:val="en-GB"/>
              </w:rPr>
            </w:pPr>
            <w:r>
              <w:rPr>
                <w:rFonts w:ascii="Arial" w:hAnsi="Arial"/>
                <w:b w:val="false"/>
                <w:bCs w:val="false"/>
                <w:lang w:val="en-GB"/>
              </w:rPr>
              <w:t>pragmatism and such) and problems arising within these concepts and also theirs practical applications as for example: problem with the ‘rule of truthfulness’, bias (cognitive and communicative), technology etc. The integral part of the course are activities, both during the classes and between them.</w:t>
            </w:r>
          </w:p>
        </w:tc>
      </w:tr>
      <w:tr>
        <w:trPr/>
        <w:tc>
          <w:tcPr>
            <w:tcW w:w="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lang w:val="en-GB"/>
              </w:rPr>
            </w:pPr>
            <w:r>
              <w:rPr>
                <w:rFonts w:eastAsia="Calibri" w:cs="Tahoma" w:ascii="Corbel" w:hAnsi="Corbel"/>
                <w:b w:val="false"/>
                <w:i/>
                <w:color w:val="auto"/>
                <w:sz w:val="24"/>
                <w:lang w:val="en-GB"/>
              </w:rPr>
              <w:t>Introduction to general issues within the field of communication ethics</w:t>
            </w:r>
          </w:p>
        </w:tc>
      </w:tr>
      <w:tr>
        <w:trPr/>
        <w:tc>
          <w:tcPr>
            <w:tcW w:w="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le"/>
              <w:spacing w:before="40" w:after="40"/>
              <w:ind w:left="0" w:hanging="0"/>
              <w:jc w:val="left"/>
              <w:rPr>
                <w:rFonts w:ascii="Corbel" w:hAnsi="Corbel" w:eastAsia="Calibri" w:cs="Tahoma"/>
                <w:color w:val="auto"/>
                <w:sz w:val="24"/>
                <w:lang w:val="en-GB"/>
              </w:rPr>
            </w:pPr>
            <w:r>
              <w:rPr>
                <w:rFonts w:eastAsia="Calibri" w:cs="Tahoma" w:ascii="Corbel" w:hAnsi="Corbel"/>
                <w:color w:val="auto"/>
                <w:sz w:val="24"/>
                <w:lang w:val="en-GB"/>
              </w:rPr>
              <w:t>O2</w:t>
            </w:r>
          </w:p>
        </w:tc>
        <w:tc>
          <w:tcPr>
            <w:tcW w:w="8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lang w:val="en-GB"/>
              </w:rPr>
            </w:pPr>
            <w:r>
              <w:rPr>
                <w:rFonts w:eastAsia="Calibri" w:cs="Tahoma" w:ascii="Corbel" w:hAnsi="Corbel"/>
                <w:b w:val="false"/>
                <w:i/>
                <w:color w:val="auto"/>
                <w:sz w:val="24"/>
                <w:lang w:val="en-GB"/>
              </w:rPr>
              <w:t>Preparation to critical analysis of modes, values and means of communication in practice (including self-reflection)</w:t>
            </w:r>
          </w:p>
        </w:tc>
      </w:tr>
      <w:tr>
        <w:trPr/>
        <w:tc>
          <w:tcPr>
            <w:tcW w:w="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O3</w:t>
            </w:r>
          </w:p>
        </w:tc>
        <w:tc>
          <w:tcPr>
            <w:tcW w:w="8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lang w:val="en-GB"/>
              </w:rPr>
            </w:pPr>
            <w:r>
              <w:rPr>
                <w:rFonts w:eastAsia="Calibri" w:cs="Tahoma" w:ascii="Corbel" w:hAnsi="Corbel"/>
                <w:b w:val="false"/>
                <w:i/>
                <w:color w:val="auto"/>
                <w:sz w:val="24"/>
                <w:lang w:val="en-GB"/>
              </w:rPr>
              <w:t>Preparation to further study and critique based on students’ own research of ethical issues and problems in communication (adv. level)</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cs="Tahoma" w:ascii="Corbel" w:hAnsi="Corbel"/>
          <w:color w:val="auto"/>
          <w:szCs w:val="24"/>
          <w:lang w:val="en-GB"/>
        </w:rPr>
        <w:t xml:space="preserve">Course/Module Learning Outcomes </w:t>
      </w:r>
      <w:r>
        <w:rPr>
          <w:rFonts w:ascii="Corbel" w:hAnsi="Corbel"/>
          <w:color w:val="auto"/>
          <w:szCs w:val="24"/>
          <w:lang w:val="en-GB"/>
        </w:rPr>
        <w:t>(to be completed by the coordinator)</w:t>
      </w:r>
    </w:p>
    <w:p>
      <w:pPr>
        <w:pStyle w:val="Punktygwne"/>
        <w:spacing w:before="0" w:after="0"/>
        <w:rPr>
          <w:rFonts w:ascii="Corbel" w:hAnsi="Corbel"/>
          <w:color w:val="auto"/>
          <w:szCs w:val="24"/>
          <w:lang w:val="en-GB"/>
        </w:rPr>
      </w:pPr>
      <w:r>
        <w:rPr>
          <w:rFonts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tbl>
      <w:tblPr>
        <w:tblW w:w="9524"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2373"/>
        <w:gridCol w:w="4597"/>
        <w:gridCol w:w="2554"/>
      </w:tblGrid>
      <w:tr>
        <w:trPr/>
        <w:tc>
          <w:tcPr>
            <w:tcW w:w="2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Learning Outcome</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 xml:space="preserve">The description of the learning outcome </w:t>
            </w:r>
          </w:p>
          <w:p>
            <w:pPr>
              <w:pStyle w:val="Punktygwn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defined for the course/module</w:t>
            </w:r>
          </w:p>
        </w:tc>
        <w:tc>
          <w:tcPr>
            <w:tcW w:w="2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Relation to the degree programme outcomes</w:t>
            </w:r>
          </w:p>
        </w:tc>
      </w:tr>
      <w:tr>
        <w:trPr/>
        <w:tc>
          <w:tcPr>
            <w:tcW w:w="2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LO_01</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0"/>
                <w:lang w:val="en-GB" w:eastAsia="pl-PL"/>
              </w:rPr>
              <w:t>Student knows and understands main ethical issues and conceptualisation of them in the area of communication</w:t>
            </w:r>
          </w:p>
        </w:tc>
        <w:tc>
          <w:tcPr>
            <w:tcW w:w="2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ascii="Corbel" w:hAnsi="Corbel"/>
                <w:b w:val="false"/>
                <w:bCs/>
                <w:szCs w:val="24"/>
                <w:lang w:val="en-GB"/>
              </w:rPr>
              <w:t>K_W01-2</w:t>
            </w:r>
          </w:p>
        </w:tc>
      </w:tr>
      <w:tr>
        <w:trPr/>
        <w:tc>
          <w:tcPr>
            <w:tcW w:w="2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LO_02</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0"/>
                <w:lang w:val="en-GB" w:eastAsia="pl-PL"/>
              </w:rPr>
              <w:t>Student knows main modes of argumentation and their theoretical frames.</w:t>
            </w:r>
          </w:p>
        </w:tc>
        <w:tc>
          <w:tcPr>
            <w:tcW w:w="2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ascii="Corbel" w:hAnsi="Corbel"/>
                <w:b w:val="false"/>
                <w:bCs/>
                <w:szCs w:val="24"/>
                <w:lang w:val="en-GB"/>
              </w:rPr>
              <w:t>K_W03</w:t>
            </w:r>
            <w:r>
              <w:rPr>
                <w:rFonts w:cs="Tahoma" w:ascii="Corbel" w:hAnsi="Corbel"/>
                <w:b w:val="false"/>
                <w:bCs/>
                <w:caps w:val="false"/>
                <w:smallCaps w:val="false"/>
                <w:color w:val="auto"/>
                <w:szCs w:val="20"/>
                <w:lang w:val="en-GB" w:eastAsia="pl-PL"/>
              </w:rPr>
              <w:t>-4-5</w:t>
            </w:r>
          </w:p>
        </w:tc>
      </w:tr>
      <w:tr>
        <w:trPr/>
        <w:tc>
          <w:tcPr>
            <w:tcW w:w="2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4"/>
                <w:lang w:val="en-GB" w:eastAsia="pl-PL"/>
              </w:rPr>
              <w:t>LO_03</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0"/>
                <w:lang w:val="en-GB" w:eastAsia="pl-PL"/>
              </w:rPr>
              <w:t>Student is able to present, examine and critique (on basic level) theoretical matrices using practical issues and examples</w:t>
            </w:r>
          </w:p>
        </w:tc>
        <w:tc>
          <w:tcPr>
            <w:tcW w:w="2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ascii="Corbel" w:hAnsi="Corbel"/>
                <w:b w:val="false"/>
                <w:bCs/>
                <w:szCs w:val="24"/>
                <w:lang w:val="en-GB"/>
              </w:rPr>
              <w:t>K_U04-5-6</w:t>
            </w:r>
          </w:p>
        </w:tc>
      </w:tr>
      <w:tr>
        <w:trPr/>
        <w:tc>
          <w:tcPr>
            <w:tcW w:w="2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LO_04</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cs="Tahoma" w:ascii="Corbel" w:hAnsi="Corbel"/>
                <w:b w:val="false"/>
                <w:caps w:val="false"/>
                <w:smallCaps w:val="false"/>
                <w:color w:val="auto"/>
                <w:szCs w:val="20"/>
                <w:lang w:val="en-GB" w:eastAsia="pl-PL"/>
              </w:rPr>
              <w:t xml:space="preserve">Student is able to critical analysis of communication in public discourse </w:t>
            </w:r>
            <w:r>
              <w:rPr>
                <w:rFonts w:cs="Tahoma" w:ascii="Corbel" w:hAnsi="Corbel"/>
                <w:b w:val="false"/>
                <w:caps w:val="false"/>
                <w:smallCaps w:val="false"/>
                <w:color w:val="auto"/>
                <w:szCs w:val="20"/>
                <w:lang w:val="en-GB" w:eastAsia="pl-PL"/>
              </w:rPr>
              <w:t>and reflection of one’s own participation</w:t>
            </w:r>
          </w:p>
        </w:tc>
        <w:tc>
          <w:tcPr>
            <w:tcW w:w="2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ascii="Corbel" w:hAnsi="Corbel"/>
                <w:b w:val="false"/>
                <w:bCs/>
                <w:szCs w:val="24"/>
                <w:lang w:val="en-GB"/>
              </w:rPr>
              <w:t>K_U09, K_K01, K_K04-5</w:t>
            </w:r>
          </w:p>
        </w:tc>
      </w:tr>
    </w:tbl>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Normal"/>
        <w:rPr>
          <w:rFonts w:ascii="Corbel" w:hAnsi="Corbel"/>
          <w:b/>
          <w:b/>
          <w:color w:val="auto"/>
          <w:szCs w:val="24"/>
          <w:lang w:val="en-GB"/>
        </w:rPr>
      </w:pPr>
      <w:r>
        <w:rPr>
          <w:rFonts w:ascii="Corbel" w:hAnsi="Corbel"/>
          <w:b/>
          <w:color w:val="auto"/>
          <w:szCs w:val="24"/>
          <w:lang w:val="en-GB"/>
        </w:rPr>
      </w:r>
    </w:p>
    <w:p>
      <w:pPr>
        <w:pStyle w:val="Normal"/>
        <w:rPr>
          <w:rFonts w:ascii="Corbel" w:hAnsi="Corbel" w:cs="Tahoma"/>
          <w:b/>
          <w:b/>
          <w:color w:val="auto"/>
          <w:szCs w:val="24"/>
          <w:lang w:val="en-GB"/>
        </w:rPr>
      </w:pPr>
      <w:r>
        <w:rPr>
          <w:rFonts w:ascii="Corbel" w:hAnsi="Corbel"/>
          <w:b/>
          <w:color w:val="auto"/>
          <w:szCs w:val="24"/>
          <w:lang w:val="en-GB"/>
        </w:rPr>
        <w:t xml:space="preserve">3.3. </w:t>
      </w:r>
      <w:r>
        <w:rPr>
          <w:rFonts w:cs="Tahoma" w:ascii="Corbel" w:hAnsi="Corbel"/>
          <w:b/>
          <w:color w:val="auto"/>
          <w:szCs w:val="24"/>
          <w:lang w:val="en-GB"/>
        </w:rPr>
        <w:t>Course content (to be completed by the coordinator)</w:t>
      </w:r>
    </w:p>
    <w:p>
      <w:pPr>
        <w:pStyle w:val="ListParagraph"/>
        <w:ind w:left="862" w:hanging="0"/>
        <w:jc w:val="both"/>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spacing w:lineRule="auto" w:line="240" w:before="0" w:after="120"/>
        <w:contextualSpacing/>
        <w:jc w:val="both"/>
        <w:rPr>
          <w:rFonts w:ascii="Corbel" w:hAnsi="Corbel" w:cs="Tahoma"/>
          <w:color w:val="auto"/>
          <w:szCs w:val="24"/>
          <w:lang w:val="en-GB"/>
        </w:rPr>
      </w:pPr>
      <w:r>
        <w:rPr>
          <w:rFonts w:cs="Tahoma" w:ascii="Corbel" w:hAnsi="Corbel"/>
          <w:color w:val="auto"/>
          <w:szCs w:val="24"/>
          <w:lang w:val="en-GB"/>
        </w:rPr>
        <w:t>Lectures</w:t>
      </w:r>
    </w:p>
    <w:p>
      <w:pPr>
        <w:pStyle w:val="ListParagraph"/>
        <w:spacing w:lineRule="auto" w:line="240" w:before="0" w:after="120"/>
        <w:ind w:left="1080" w:hanging="0"/>
        <w:contextualSpacing/>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Content outline</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lang w:val="en-GB"/>
              </w:rPr>
            </w:pPr>
            <w:r>
              <w:rPr>
                <w:rFonts w:cs="Tahoma" w:ascii="Corbel" w:hAnsi="Corbel"/>
                <w:color w:val="auto"/>
                <w:szCs w:val="24"/>
                <w:lang w:val="en-GB"/>
              </w:rPr>
              <w:t>A. Introductory Part</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lang w:val="en-GB"/>
              </w:rPr>
            </w:pPr>
            <w:r>
              <w:rPr>
                <w:rFonts w:cs="Tahoma" w:ascii="Corbel" w:hAnsi="Corbel"/>
                <w:color w:val="auto"/>
                <w:szCs w:val="24"/>
                <w:lang w:val="en-GB"/>
              </w:rPr>
              <w:t>1. Main issues, area of inquiry, field of examination</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lang w:val="en-GB"/>
              </w:rPr>
            </w:pPr>
            <w:r>
              <w:rPr>
                <w:rFonts w:cs="Tahoma" w:ascii="Corbel" w:hAnsi="Corbel"/>
                <w:color w:val="auto"/>
                <w:szCs w:val="24"/>
                <w:lang w:val="en-GB"/>
              </w:rPr>
              <w:t>2. Main ethical postulates and their applications</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pPr>
            <w:r>
              <w:rPr>
                <w:rFonts w:cs="Tahoma" w:ascii="Corbel" w:hAnsi="Corbel"/>
                <w:color w:val="auto"/>
                <w:szCs w:val="24"/>
                <w:lang w:val="en-GB"/>
              </w:rPr>
              <w:t xml:space="preserve">3. Modes of argumentation and theories (virtue ethics, deontology, utilitarianism, pragmatism, consequentialism, care ethics, ethics of dialogue and discourse)  </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lang w:val="en-GB"/>
              </w:rPr>
            </w:pPr>
            <w:r>
              <w:rPr>
                <w:rFonts w:cs="Tahoma" w:ascii="Corbel" w:hAnsi="Corbel"/>
                <w:color w:val="auto"/>
                <w:szCs w:val="24"/>
                <w:lang w:val="en-GB"/>
              </w:rPr>
              <w:t>4. Problems and issues with axiology of communication (truthfulness and honesty, efficiency, freedom, justice, security and safety, comfort and care, empathy, respect)</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lang w:val="en-GB"/>
              </w:rPr>
            </w:pPr>
            <w:r>
              <w:rPr>
                <w:rFonts w:cs="Tahoma" w:ascii="Corbel" w:hAnsi="Corbel"/>
                <w:color w:val="auto"/>
                <w:szCs w:val="24"/>
                <w:lang w:val="en-GB"/>
              </w:rPr>
              <w:t>5. Test cases</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lang w:val="en-GB"/>
              </w:rPr>
            </w:pPr>
            <w:r>
              <w:rPr>
                <w:rFonts w:cs="Tahoma" w:ascii="Corbel" w:hAnsi="Corbel"/>
                <w:color w:val="auto"/>
                <w:szCs w:val="24"/>
                <w:lang w:val="en-GB"/>
              </w:rPr>
              <w:t>6. Microsimulation</w:t>
            </w:r>
          </w:p>
        </w:tc>
      </w:tr>
    </w:tbl>
    <w:p>
      <w:pPr>
        <w:pStyle w:val="Normal"/>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jc w:val="both"/>
        <w:rPr>
          <w:rFonts w:ascii="Corbel" w:hAnsi="Corbel" w:cs="Tahoma"/>
          <w:color w:val="auto"/>
          <w:szCs w:val="24"/>
          <w:lang w:val="en-GB"/>
        </w:rPr>
      </w:pPr>
      <w:r>
        <w:rPr>
          <w:rFonts w:cs="Tahoma" w:ascii="Corbel" w:hAnsi="Corbel"/>
          <w:color w:val="auto"/>
          <w:szCs w:val="24"/>
          <w:lang w:val="en-GB"/>
        </w:rPr>
        <w:t>Classes, tutorials/seminars, colloquia, laboratories, practical classes</w:t>
      </w:r>
    </w:p>
    <w:p>
      <w:pPr>
        <w:pStyle w:val="ListParagraph"/>
        <w:ind w:left="1080" w:hanging="0"/>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708" w:hanging="708"/>
              <w:contextualSpacing/>
              <w:rPr>
                <w:lang w:val="en-GB"/>
              </w:rPr>
            </w:pPr>
            <w:r>
              <w:rPr>
                <w:rFonts w:cs="Tahoma" w:ascii="Corbel" w:hAnsi="Corbel"/>
                <w:color w:val="auto"/>
                <w:szCs w:val="24"/>
                <w:lang w:val="en-GB"/>
              </w:rPr>
              <w:t xml:space="preserve">B. Communication Ethics in Practice </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t>7. Social and organisational control strategies,</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t>8. Bias, context and cultural distance/dissonance</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t>9. Internal clashes of values and axioms</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t xml:space="preserve">10. Politics and economies of communication                   </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lang w:val="en-GB"/>
              </w:rPr>
            </w:pPr>
            <w:r>
              <w:rPr>
                <w:lang w:val="en-GB"/>
              </w:rPr>
              <w:t>11. Microsimulation</w:t>
            </w:r>
          </w:p>
        </w:tc>
      </w:tr>
    </w:tbl>
    <w:p>
      <w:pPr>
        <w:pStyle w:val="ListParagraph"/>
        <w:ind w:left="1080" w:hanging="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ascii="Corbel" w:hAnsi="Corbel"/>
          <w:color w:val="auto"/>
          <w:szCs w:val="24"/>
          <w:lang w:val="en-GB"/>
        </w:rPr>
        <w:t>3.4.</w:t>
      </w:r>
      <w:r>
        <w:rPr>
          <w:rFonts w:cs="Tahoma" w:ascii="Corbel" w:hAnsi="Corbel"/>
          <w:caps w:val="false"/>
          <w:smallCaps w:val="false"/>
          <w:color w:val="auto"/>
          <w:szCs w:val="24"/>
          <w:lang w:val="en-GB"/>
        </w:rPr>
        <w:t xml:space="preserve"> Methods of Instruction</w:t>
      </w:r>
    </w:p>
    <w:p>
      <w:pPr>
        <w:pStyle w:val="Punktygwne"/>
        <w:spacing w:before="0" w:after="0"/>
        <w:rPr>
          <w:rFonts w:ascii="Corbel" w:hAnsi="Corbel" w:cs="Tahoma"/>
          <w:b w:val="false"/>
          <w:b w:val="false"/>
          <w:caps w:val="false"/>
          <w:smallCaps w:val="false"/>
          <w:color w:val="auto"/>
          <w:sz w:val="20"/>
          <w:szCs w:val="20"/>
          <w:lang w:val="en-GB"/>
        </w:rPr>
      </w:pPr>
      <w:r>
        <w:rPr>
          <w:rFonts w:cs="Tahoma" w:ascii="Corbel" w:hAnsi="Corbel"/>
          <w:b w:val="false"/>
          <w:caps w:val="false"/>
          <w:smallCaps w:val="false"/>
          <w:color w:val="auto"/>
          <w:sz w:val="20"/>
          <w:szCs w:val="20"/>
          <w:lang w:val="en-GB"/>
        </w:rPr>
        <w:t>e.g.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Lecture: a problem-solving lecture/a lecture supported by a multimedia presentation/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Classes: text analysis and discussion/project work (research project, implementation project, practical project)/ group work (problem solving, case study, discussion)/didactic games/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Laboratory classes: designing and conducting experiments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b w:val="false"/>
          <w:i/>
          <w:caps w:val="false"/>
          <w:smallCaps w:val="false"/>
          <w:color w:val="auto"/>
          <w:szCs w:val="24"/>
          <w:lang w:val="en-GB"/>
        </w:rPr>
        <w:t>a problem-solving lecture, lecture with active participation,</w:t>
      </w:r>
    </w:p>
    <w:p>
      <w:pPr>
        <w:pStyle w:val="Punktygwne"/>
        <w:spacing w:before="0" w:after="0"/>
        <w:rPr>
          <w:rFonts w:ascii="Corbel" w:hAnsi="Corbel" w:cs="Tahoma"/>
          <w:b w:val="false"/>
          <w:b w:val="false"/>
          <w:i/>
          <w:i/>
          <w:caps w:val="false"/>
          <w:smallCaps w:val="false"/>
          <w:color w:val="auto"/>
          <w:szCs w:val="24"/>
        </w:rPr>
      </w:pPr>
      <w:r>
        <w:rPr>
          <w:rFonts w:cs="Tahoma" w:ascii="Corbel" w:hAnsi="Corbel"/>
          <w:b w:val="false"/>
          <w:i/>
          <w:caps w:val="false"/>
          <w:smallCaps w:val="false"/>
          <w:color w:val="auto"/>
          <w:szCs w:val="24"/>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bookmarkStart w:id="0" w:name="_GoBack"/>
      <w:bookmarkStart w:id="1" w:name="_GoBack"/>
      <w:bookmarkEnd w:id="1"/>
    </w:p>
    <w:p>
      <w:pPr>
        <w:pStyle w:val="Punktygwne"/>
        <w:spacing w:before="0" w:after="0"/>
        <w:rPr>
          <w:lang w:val="en-GB"/>
        </w:rPr>
      </w:pPr>
      <w:r>
        <w:rPr>
          <w:rFonts w:cs="Tahoma" w:ascii="Corbel" w:hAnsi="Corbel"/>
          <w:caps w:val="false"/>
          <w:smallCaps w:val="false"/>
          <w:color w:val="auto"/>
          <w:szCs w:val="24"/>
          <w:lang w:val="en-GB"/>
        </w:rPr>
        <w:t>4. Assessment techniques and criteria</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w:t>
      </w:r>
      <w:r>
        <w:rPr>
          <w:rFonts w:cs="Tahoma" w:ascii="Corbel" w:hAnsi="Corbel"/>
          <w:b w:val="false"/>
          <w:bCs w:val="false"/>
          <w:caps w:val="false"/>
          <w:smallCaps w:val="false"/>
          <w:color w:val="auto"/>
          <w:szCs w:val="24"/>
          <w:lang w:val="en-GB"/>
        </w:rPr>
        <w:t xml:space="preserve"> exit tickets and reflective notes;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homework assessments;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microsimulations and group work</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4.1 Methods of evaluating learning outcomes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Direct paraphrasing, One-sentence summary, application cards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1947"/>
        <w:gridCol w:w="4956"/>
        <w:gridCol w:w="2196"/>
      </w:tblGrid>
      <w:tr>
        <w:trPr/>
        <w:tc>
          <w:tcPr>
            <w:tcW w:w="19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outcome</w:t>
            </w:r>
          </w:p>
          <w:p>
            <w:pPr>
              <w:pStyle w:val="Punktygwne"/>
              <w:spacing w:before="0" w:after="0"/>
              <w:jc w:val="center"/>
              <w:rPr>
                <w:rFonts w:ascii="Corbel" w:hAnsi="Corbel" w:cs="Tahoma"/>
                <w:b w:val="false"/>
                <w:b w:val="false"/>
                <w:i/>
                <w:i/>
                <w:caps w:val="false"/>
                <w:smallCaps w:val="false"/>
                <w:color w:val="auto"/>
                <w:szCs w:val="24"/>
                <w:lang w:val="en-GB" w:eastAsia="pl-PL"/>
              </w:rPr>
            </w:pPr>
            <w:r>
              <w:rPr>
                <w:rFonts w:cs="Tahoma" w:ascii="Corbel" w:hAnsi="Corbel"/>
                <w:b w:val="false"/>
                <w:i/>
                <w:caps w:val="false"/>
                <w:smallCaps w:val="false"/>
                <w:color w:val="auto"/>
                <w:szCs w:val="24"/>
                <w:lang w:val="en-GB" w:eastAsia="pl-PL"/>
              </w:rPr>
            </w:r>
          </w:p>
        </w:tc>
        <w:tc>
          <w:tcPr>
            <w:tcW w:w="49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format (lectures, classes,…)</w:t>
            </w:r>
          </w:p>
        </w:tc>
      </w:tr>
      <w:tr>
        <w:trPr/>
        <w:tc>
          <w:tcPr>
            <w:tcW w:w="19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ascii="Corbel" w:hAnsi="Corbel"/>
                <w:b w:val="false"/>
                <w:color w:val="auto"/>
                <w:szCs w:val="24"/>
                <w:lang w:val="en-GB" w:eastAsia="pl-PL"/>
              </w:rPr>
              <w:t>LO-01-04</w:t>
            </w:r>
          </w:p>
        </w:tc>
        <w:tc>
          <w:tcPr>
            <w:tcW w:w="49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b w:val="false"/>
                <w:i/>
                <w:sz w:val="22"/>
                <w:lang w:val="en-GB"/>
              </w:rPr>
              <w:t>Continuous assessment:</w:t>
              <w:br/>
              <w:t>Active participation, Homework, Microsimulation engagement, reflection, final work</w:t>
            </w:r>
          </w:p>
        </w:tc>
        <w:tc>
          <w:tcPr>
            <w:tcW w:w="21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b w:val="false"/>
                <w:b w:val="false"/>
                <w:color w:val="auto"/>
                <w:szCs w:val="20"/>
                <w:lang w:val="en-GB" w:eastAsia="pl-PL"/>
              </w:rPr>
            </w:pPr>
            <w:r>
              <w:rPr>
                <w:rFonts w:ascii="Corbel" w:hAnsi="Corbel"/>
                <w:b w:val="false"/>
                <w:color w:val="auto"/>
                <w:szCs w:val="20"/>
                <w:lang w:val="en-GB" w:eastAsia="pl-PL"/>
              </w:rPr>
              <w:t>Lectures</w:t>
            </w:r>
          </w:p>
        </w:tc>
      </w:tr>
      <w:tr>
        <w:trPr/>
        <w:tc>
          <w:tcPr>
            <w:tcW w:w="19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b w:val="false"/>
                <w:b w:val="false"/>
                <w:color w:val="auto"/>
                <w:szCs w:val="24"/>
                <w:lang w:eastAsia="pl-PL"/>
              </w:rPr>
            </w:pPr>
            <w:r>
              <w:rPr>
                <w:rFonts w:ascii="Corbel" w:hAnsi="Corbel"/>
                <w:b w:val="false"/>
                <w:color w:val="auto"/>
                <w:szCs w:val="24"/>
                <w:lang w:eastAsia="pl-PL"/>
              </w:rPr>
            </w:r>
          </w:p>
        </w:tc>
        <w:tc>
          <w:tcPr>
            <w:tcW w:w="49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b w:val="false"/>
                <w:b w:val="false"/>
                <w:i/>
                <w:i/>
                <w:sz w:val="22"/>
              </w:rPr>
            </w:pPr>
            <w:r>
              <w:rPr>
                <w:b w:val="false"/>
                <w:i/>
                <w:sz w:val="22"/>
              </w:rPr>
            </w:r>
          </w:p>
        </w:tc>
        <w:tc>
          <w:tcPr>
            <w:tcW w:w="21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b w:val="false"/>
                <w:b w:val="false"/>
                <w:color w:val="auto"/>
                <w:szCs w:val="20"/>
                <w:lang w:eastAsia="pl-PL"/>
              </w:rPr>
            </w:pPr>
            <w:r>
              <w:rPr>
                <w:rFonts w:ascii="Corbel" w:hAnsi="Corbel"/>
                <w:b w:val="false"/>
                <w:color w:val="auto"/>
                <w:szCs w:val="20"/>
                <w:lang w:eastAsia="pl-PL"/>
              </w:rPr>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4.2 Course assessment criteria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9099"/>
      </w:tblGrid>
      <w:tr>
        <w:trPr/>
        <w:tc>
          <w:tcPr>
            <w:tcW w:w="9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0"/>
                <w:lang w:val="en-GB" w:eastAsia="pl-PL"/>
              </w:rPr>
              <w:t>1. Completion of all tasks given (40%)</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2. Active participation in activities (30%)</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3. Final work (30%)</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Grade scale (normalised):</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&lt;51% - ndst (F)</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51-56 % - dst (D-)</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57-64 % - dst+ (D)</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65-70 % - db- (C)</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71-80 % - db (B)</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81-90 % - db+(B)</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91-100% - bdb (A)</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284" w:hanging="284"/>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5. Total student workload needed to achieve the intended learning outcomes </w:t>
      </w:r>
    </w:p>
    <w:p>
      <w:pPr>
        <w:pStyle w:val="Punktygwne"/>
        <w:spacing w:before="0" w:after="0"/>
        <w:ind w:left="284"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 </w:t>
      </w:r>
      <w:r>
        <w:rPr>
          <w:rFonts w:cs="Tahoma" w:ascii="Corbel" w:hAnsi="Corbel"/>
          <w:caps w:val="false"/>
          <w:smallCaps w:val="false"/>
          <w:color w:val="auto"/>
          <w:szCs w:val="24"/>
          <w:lang w:val="en-GB"/>
        </w:rPr>
        <w:t xml:space="preserve">number of hours and ECTS credits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8750" w:type="dxa"/>
        <w:jc w:val="left"/>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4375"/>
        <w:gridCol w:w="4374"/>
      </w:tblGrid>
      <w:tr>
        <w:trPr>
          <w:trHeight w:val="455"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jc w:val="center"/>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Number of hours</w:t>
            </w:r>
          </w:p>
        </w:tc>
      </w:tr>
      <w:tr>
        <w:trPr>
          <w:trHeight w:val="426"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val="en-GB"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0"/>
                <w:lang w:val="en-GB" w:eastAsia="pl-PL"/>
              </w:rPr>
              <w:t>30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0"/>
                <w:lang w:val="en-GB" w:eastAsia="pl-PL"/>
              </w:rPr>
              <w:t>10+(as needed)</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0"/>
                <w:lang w:val="en-GB" w:eastAsia="pl-PL"/>
              </w:rPr>
              <w:t>60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0"/>
                <w:lang w:val="en-GB" w:eastAsia="pl-PL"/>
              </w:rPr>
              <w:t>100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3</w:t>
            </w:r>
          </w:p>
        </w:tc>
      </w:tr>
    </w:tbl>
    <w:p>
      <w:pPr>
        <w:pStyle w:val="Punktygwne"/>
        <w:spacing w:before="0" w:after="0"/>
        <w:ind w:firstLine="708"/>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One ECTS point corresponds to 25-30 hours of total student workload</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6. Internships related to the course/module</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8005" w:type="dxa"/>
        <w:jc w:val="left"/>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3856"/>
        <w:gridCol w:w="4148"/>
      </w:tblGrid>
      <w:tr>
        <w:trPr>
          <w:trHeight w:val="234" w:hRule="atLeast"/>
        </w:trPr>
        <w:tc>
          <w:tcPr>
            <w:tcW w:w="3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Number of hours</w:t>
            </w:r>
          </w:p>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r>
        <w:trPr>
          <w:trHeight w:val="515" w:hRule="atLeast"/>
        </w:trPr>
        <w:tc>
          <w:tcPr>
            <w:tcW w:w="3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tabs>
          <w:tab w:val="left" w:pos="284" w:leader="none"/>
        </w:tabs>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7. Instructional materials</w:t>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7992" w:type="dxa"/>
        <w:jc w:val="left"/>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7992"/>
      </w:tblGrid>
      <w:tr>
        <w:trPr>
          <w:trHeight w:val="532" w:hRule="atLeast"/>
        </w:trPr>
        <w:tc>
          <w:tcPr>
            <w:tcW w:w="7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4"/>
                <w:lang w:val="en-GB" w:eastAsia="pl-PL"/>
              </w:rPr>
              <w:t>Compulsory literature:</w:t>
            </w:r>
          </w:p>
          <w:p>
            <w:pPr>
              <w:pStyle w:val="Punktygwn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spacing w:before="0" w:after="0"/>
              <w:rPr/>
            </w:pPr>
            <w:r>
              <w:rPr>
                <w:rFonts w:cs="Tahoma" w:ascii="Corbel" w:hAnsi="Corbel"/>
                <w:b w:val="false"/>
                <w:caps w:val="false"/>
                <w:smallCaps w:val="false"/>
                <w:color w:val="auto"/>
                <w:sz w:val="20"/>
                <w:szCs w:val="20"/>
                <w:lang w:val="en-GB" w:eastAsia="pl-PL"/>
              </w:rPr>
              <w:t xml:space="preserve">Lipari L., A., (2017) Communication Ethics, DOI: 10.1093/acrefore/9780190228613.013.58 (online) </w:t>
            </w:r>
            <w:hyperlink r:id="rId2">
              <w:r>
                <w:rPr>
                  <w:rStyle w:val="InternetLink"/>
                  <w:rFonts w:cs="Tahoma" w:ascii="Corbel" w:hAnsi="Corbel"/>
                  <w:b w:val="false"/>
                  <w:caps w:val="false"/>
                  <w:smallCaps w:val="false"/>
                  <w:color w:val="auto"/>
                  <w:sz w:val="20"/>
                  <w:szCs w:val="20"/>
                  <w:lang w:val="en-GB" w:eastAsia="pl-PL"/>
                </w:rPr>
                <w:t>https://oxfordre.com/communication/display/10.1093/acrefore/9780190228613.001.0001/acrefore-9780190228613-e-58;jsessionid=421B00F89E43D2D5CA29B040AB1FA9A5</w:t>
              </w:r>
            </w:hyperlink>
          </w:p>
          <w:p>
            <w:pPr>
              <w:pStyle w:val="Punktygwne"/>
              <w:spacing w:before="0" w:after="0"/>
              <w:rPr>
                <w:rFonts w:ascii="Corbel" w:hAnsi="Corbel" w:cs="Tahoma"/>
                <w:b w:val="false"/>
                <w:b w:val="false"/>
                <w:caps w:val="false"/>
                <w:smallCaps w:val="false"/>
                <w:color w:val="auto"/>
                <w:sz w:val="20"/>
                <w:szCs w:val="20"/>
                <w:lang w:eastAsia="pl-PL"/>
              </w:rPr>
            </w:pPr>
            <w:r>
              <w:rPr>
                <w:rFonts w:cs="Tahoma" w:ascii="Corbel" w:hAnsi="Corbel"/>
                <w:b w:val="false"/>
                <w:caps w:val="false"/>
                <w:smallCaps w:val="false"/>
                <w:color w:val="auto"/>
                <w:sz w:val="20"/>
                <w:szCs w:val="20"/>
                <w:lang w:eastAsia="pl-PL"/>
              </w:rPr>
            </w:r>
          </w:p>
          <w:p>
            <w:pPr>
              <w:pStyle w:val="Heading1"/>
              <w:numPr>
                <w:ilvl w:val="0"/>
                <w:numId w:val="1"/>
              </w:numPr>
              <w:spacing w:before="0" w:after="0"/>
              <w:rPr/>
            </w:pPr>
            <w:r>
              <w:rPr>
                <w:rFonts w:cs="Tahoma" w:ascii="Corbel" w:hAnsi="Corbel"/>
                <w:b w:val="false"/>
                <w:caps w:val="false"/>
                <w:smallCaps w:val="false"/>
                <w:color w:val="auto"/>
                <w:sz w:val="20"/>
                <w:szCs w:val="20"/>
                <w:lang w:val="en-GB" w:eastAsia="pl-PL"/>
              </w:rPr>
              <w:t xml:space="preserve">Stand up, Speak out, </w:t>
            </w:r>
            <w:r>
              <w:rPr>
                <w:rFonts w:cs="Tahoma" w:ascii="Corbel" w:hAnsi="Corbel"/>
                <w:b w:val="false"/>
                <w:caps w:val="false"/>
                <w:smallCaps w:val="false"/>
                <w:color w:val="auto"/>
                <w:sz w:val="20"/>
                <w:szCs w:val="20"/>
                <w:lang w:eastAsia="pl-PL"/>
              </w:rPr>
              <w:t>The Practice and Ethics of Public Speaking</w:t>
            </w:r>
            <w:r>
              <w:rPr>
                <w:rFonts w:cs="Tahoma" w:ascii="Corbel" w:hAnsi="Corbel"/>
                <w:b w:val="false"/>
                <w:caps w:val="false"/>
                <w:smallCaps w:val="false"/>
                <w:color w:val="auto"/>
                <w:sz w:val="20"/>
                <w:szCs w:val="20"/>
                <w:lang w:val="en-GB" w:eastAsia="pl-PL"/>
              </w:rPr>
              <w:t xml:space="preserve"> - chapter II (online:) </w:t>
            </w:r>
            <w:hyperlink r:id="rId3">
              <w:r>
                <w:rPr>
                  <w:rStyle w:val="InternetLink"/>
                  <w:rFonts w:cs="Tahoma" w:ascii="Corbel" w:hAnsi="Corbel"/>
                  <w:b w:val="false"/>
                  <w:caps w:val="false"/>
                  <w:smallCaps w:val="false"/>
                  <w:color w:val="auto"/>
                  <w:sz w:val="20"/>
                  <w:szCs w:val="20"/>
                  <w:lang w:val="en-GB" w:eastAsia="pl-PL"/>
                </w:rPr>
                <w:t>https://open.lib.umn.edu/publicspeaking/part/chapter-2-ethics-matters-understanding-the-ethics-of-public-speaking/</w:t>
              </w:r>
            </w:hyperlink>
          </w:p>
          <w:p>
            <w:pPr>
              <w:pStyle w:val="TextBody"/>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Heading1"/>
              <w:numPr>
                <w:ilvl w:val="0"/>
                <w:numId w:val="1"/>
              </w:numPr>
              <w:spacing w:before="0" w:after="0"/>
              <w:rPr/>
            </w:pPr>
            <w:r>
              <w:rPr>
                <w:rFonts w:cs="Tahoma" w:ascii="Corbel" w:hAnsi="Corbel"/>
                <w:b w:val="false"/>
                <w:caps w:val="false"/>
                <w:smallCaps w:val="false"/>
                <w:color w:val="auto"/>
                <w:sz w:val="20"/>
                <w:szCs w:val="20"/>
                <w:lang w:val="en-GB" w:eastAsia="pl-PL"/>
              </w:rPr>
              <w:t xml:space="preserve">An Introduction to Organizational Communication – chapter 2.3 </w:t>
            </w:r>
            <w:hyperlink r:id="rId4">
              <w:r>
                <w:rPr>
                  <w:rStyle w:val="InternetLink"/>
                  <w:rFonts w:cs="Tahoma" w:ascii="Corbel" w:hAnsi="Corbel"/>
                  <w:b w:val="false"/>
                  <w:caps w:val="false"/>
                  <w:smallCaps w:val="false"/>
                  <w:color w:val="auto"/>
                  <w:sz w:val="20"/>
                  <w:szCs w:val="20"/>
                  <w:lang w:val="en-GB" w:eastAsia="pl-PL"/>
                </w:rPr>
                <w:t>https://2012books.lardbucket.org/books/an-introduction-to-organizational-communication/s04-03-communication-ethics.html</w:t>
              </w:r>
            </w:hyperlink>
          </w:p>
          <w:p>
            <w:pPr>
              <w:pStyle w:val="TextBody"/>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Punktygwne"/>
              <w:spacing w:lineRule="auto" w:line="240" w:before="0" w:after="0"/>
              <w:rPr>
                <w:sz w:val="20"/>
                <w:szCs w:val="20"/>
              </w:rPr>
            </w:pPr>
            <w:r>
              <w:rPr>
                <w:rFonts w:cs="Tahoma" w:ascii="Corbel" w:hAnsi="Corbel"/>
                <w:b w:val="false"/>
                <w:caps w:val="false"/>
                <w:smallCaps w:val="false"/>
                <w:color w:val="auto"/>
                <w:sz w:val="20"/>
                <w:szCs w:val="20"/>
                <w:lang w:val="en-GB" w:eastAsia="pl-PL"/>
              </w:rPr>
              <w:t>Arnett, Ronald C., (1990) The Practical Philosophy of</w:t>
            </w:r>
          </w:p>
          <w:p>
            <w:pPr>
              <w:pStyle w:val="Punktygwne"/>
              <w:spacing w:lineRule="auto" w:line="240" w:before="0" w:after="0"/>
              <w:rPr>
                <w:sz w:val="20"/>
                <w:szCs w:val="20"/>
              </w:rPr>
            </w:pPr>
            <w:r>
              <w:rPr>
                <w:rFonts w:cs="Tahoma" w:ascii="Corbel" w:hAnsi="Corbel"/>
                <w:b w:val="false"/>
                <w:caps w:val="false"/>
                <w:smallCaps w:val="false"/>
                <w:color w:val="auto"/>
                <w:sz w:val="20"/>
                <w:szCs w:val="20"/>
                <w:lang w:val="en-GB" w:eastAsia="pl-PL"/>
              </w:rPr>
              <w:t>Communication Ethics and Free Speech as the Foundation for</w:t>
            </w:r>
          </w:p>
          <w:p>
            <w:pPr>
              <w:pStyle w:val="Punktygwne"/>
              <w:spacing w:lineRule="auto" w:line="240" w:before="0" w:after="0"/>
              <w:rPr>
                <w:sz w:val="20"/>
                <w:szCs w:val="20"/>
              </w:rPr>
            </w:pPr>
            <w:r>
              <w:rPr>
                <w:rFonts w:cs="Tahoma" w:ascii="Corbel" w:hAnsi="Corbel"/>
                <w:b w:val="false"/>
                <w:caps w:val="false"/>
                <w:smallCaps w:val="false"/>
                <w:color w:val="auto"/>
                <w:sz w:val="20"/>
                <w:szCs w:val="20"/>
                <w:lang w:val="en-GB" w:eastAsia="pl-PL"/>
              </w:rPr>
              <w:t>Speech Communication, „Communication Quarterly” 38 s. 208-</w:t>
            </w:r>
          </w:p>
          <w:p>
            <w:pPr>
              <w:pStyle w:val="Punktygwne"/>
              <w:spacing w:lineRule="auto" w:line="240"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17</w:t>
            </w:r>
          </w:p>
          <w:p>
            <w:pPr>
              <w:pStyle w:val="TextBody"/>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TextBody"/>
              <w:spacing w:before="0" w:after="0"/>
              <w:rPr>
                <w:sz w:val="20"/>
                <w:szCs w:val="20"/>
              </w:rPr>
            </w:pPr>
            <w:r>
              <w:rPr>
                <w:rFonts w:cs="Tahoma" w:ascii="Corbel" w:hAnsi="Corbel"/>
                <w:b w:val="false"/>
                <w:caps w:val="false"/>
                <w:smallCaps w:val="false"/>
                <w:color w:val="auto"/>
                <w:sz w:val="20"/>
                <w:szCs w:val="20"/>
                <w:lang w:val="en-GB" w:eastAsia="pl-PL"/>
              </w:rPr>
              <w:t>(&amp; additional materials online)</w:t>
            </w:r>
          </w:p>
          <w:p>
            <w:pPr>
              <w:pStyle w:val="Punktygwne"/>
              <w:spacing w:before="0" w:after="120"/>
              <w:rPr>
                <w:rFonts w:ascii="Corbel" w:hAnsi="Corbel"/>
                <w:b w:val="false"/>
                <w:b w:val="false"/>
                <w:sz w:val="20"/>
                <w:szCs w:val="20"/>
              </w:rPr>
            </w:pPr>
            <w:r>
              <w:rPr>
                <w:rFonts w:ascii="Corbel" w:hAnsi="Corbel"/>
                <w:b w:val="false"/>
                <w:sz w:val="20"/>
                <w:szCs w:val="20"/>
              </w:rPr>
            </w:r>
          </w:p>
          <w:p>
            <w:pPr>
              <w:pStyle w:val="Punktygwne"/>
              <w:spacing w:before="0" w:after="120"/>
              <w:rPr>
                <w:rFonts w:ascii="Corbel" w:hAnsi="Corbel"/>
                <w:b w:val="false"/>
                <w:b w:val="false"/>
                <w:szCs w:val="24"/>
              </w:rPr>
            </w:pPr>
            <w:r>
              <w:rPr>
                <w:rFonts w:ascii="Corbel" w:hAnsi="Corbel"/>
                <w:b w:val="false"/>
                <w:szCs w:val="24"/>
              </w:rPr>
            </w:r>
          </w:p>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r>
      <w:tr>
        <w:trPr>
          <w:trHeight w:val="532" w:hRule="atLeast"/>
        </w:trPr>
        <w:tc>
          <w:tcPr>
            <w:tcW w:w="7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lineRule="auto" w:line="240" w:before="0" w:after="0"/>
              <w:rPr>
                <w:lang w:val="en-GB"/>
              </w:rPr>
            </w:pPr>
            <w:r>
              <w:rPr>
                <w:rFonts w:cs="Tahoma" w:ascii="Corbel" w:hAnsi="Corbel"/>
                <w:b w:val="false"/>
                <w:caps w:val="false"/>
                <w:smallCaps w:val="false"/>
                <w:color w:val="auto"/>
                <w:szCs w:val="24"/>
                <w:lang w:val="en-GB" w:eastAsia="pl-PL"/>
              </w:rPr>
              <w:t xml:space="preserve">Complementary literature: </w:t>
            </w:r>
          </w:p>
          <w:p>
            <w:pPr>
              <w:pStyle w:val="Punktygwn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spacing w:lineRule="auto" w:line="240" w:before="0" w:after="0"/>
              <w:rPr/>
            </w:pPr>
            <w:r>
              <w:rPr>
                <w:rFonts w:cs="Tahoma" w:ascii="Corbel" w:hAnsi="Corbel"/>
                <w:b w:val="false"/>
                <w:caps w:val="false"/>
                <w:smallCaps w:val="false"/>
                <w:color w:val="auto"/>
                <w:sz w:val="20"/>
                <w:szCs w:val="20"/>
                <w:lang w:val="en-GB" w:eastAsia="pl-PL"/>
              </w:rPr>
              <w:t xml:space="preserve">Matthews G. , Hendricks Chr. (2019) (eds.) Introduction to Philosophy: Ethics, (ebook OER) online:  </w:t>
            </w:r>
            <w:hyperlink r:id="rId5">
              <w:r>
                <w:rPr>
                  <w:rStyle w:val="InternetLink"/>
                  <w:rFonts w:cs="Tahoma" w:ascii="Corbel" w:hAnsi="Corbel"/>
                  <w:b w:val="false"/>
                  <w:caps w:val="false"/>
                  <w:smallCaps w:val="false"/>
                  <w:color w:val="auto"/>
                  <w:sz w:val="20"/>
                  <w:szCs w:val="20"/>
                  <w:lang w:val="en-GB" w:eastAsia="pl-PL"/>
                </w:rPr>
                <w:t>https://press.rebus.community/intro-to-phil-ethics/</w:t>
              </w:r>
            </w:hyperlink>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Anderson, Kenneth E., (1984) Communication Ethics: The</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Non-Participant’s Role, „The Southern Speech Communication</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Journal” 44 s. 219-228</w:t>
            </w:r>
          </w:p>
          <w:p>
            <w:pPr>
              <w:pStyle w:val="Punktygwne"/>
              <w:spacing w:lineRule="auto" w:line="240" w:before="0" w:after="0"/>
              <w:rPr>
                <w:sz w:val="20"/>
                <w:szCs w:val="20"/>
              </w:rPr>
            </w:pPr>
            <w:r>
              <w:rPr>
                <w:rFonts w:cs="Tahoma" w:ascii="Corbel" w:hAnsi="Corbel"/>
                <w:b w:val="false"/>
                <w:caps w:val="false"/>
                <w:smallCaps w:val="false"/>
                <w:color w:val="auto"/>
                <w:sz w:val="20"/>
                <w:szCs w:val="20"/>
                <w:lang w:val="en-GB" w:eastAsia="pl-PL"/>
              </w:rPr>
              <w:t>Bourdieu P., Wacquant L. (2001) Neoliberal newspeak: notes</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on the new planetary vulgate, tł. Macey D. and Wacquant L.</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&amp;quot;Radical Philosophy&amp;quot;, 108,</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https://www.radicalphilosophyarchive.com/commentary/newlibe</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ralspeak</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Condon, John., (1981) Values and Ethics in Communication</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Across Cultures: Some Notes on the North American Case,</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w:t>
            </w:r>
            <w:r>
              <w:rPr>
                <w:rFonts w:cs="Tahoma" w:ascii="Corbel" w:hAnsi="Corbel"/>
                <w:b w:val="false"/>
                <w:caps w:val="false"/>
                <w:smallCaps w:val="false"/>
                <w:color w:val="auto"/>
                <w:sz w:val="20"/>
                <w:szCs w:val="20"/>
                <w:lang w:val="en-GB" w:eastAsia="pl-PL"/>
              </w:rPr>
              <w:t>Communication” 6 s. 255-65.</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Khan, F. R, Iqbal Z., Gazzaz O.B (2012) Communication and</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culture: Reflections on the perspectives of influence. Wulfenia</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Journal, 19(8) s. 197-212,</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https://www.researchgate.net/profile/Fazal_Khan3/publication/2</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53341225_Communication_and_culture_Reflections_on_the_p</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erspectives_of_influence_Wulfenia_Journal_198_197-</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212/links/00b7d52678673420bd000000/Communication-and-</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culture-Reflections-on-the-perspectives-of-influence-Wulfenia-</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Journal-198-197-212.pdf</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Stallman R. (1997) The Right to Read, Communications of the ACM; 40/2. Online: https://www.gnu.org/philosophy/right-to-</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read.html</w:t>
            </w:r>
          </w:p>
          <w:p>
            <w:pPr>
              <w:pStyle w:val="Punktygwn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spacing w:lineRule="auto" w:line="240" w:before="0" w:after="0"/>
              <w:rPr>
                <w:lang w:val="en-GB"/>
              </w:rPr>
            </w:pPr>
            <w:r>
              <w:rPr>
                <w:rFonts w:cs="Tahoma" w:ascii="Corbel" w:hAnsi="Corbel"/>
                <w:b w:val="false"/>
                <w:caps w:val="false"/>
                <w:smallCaps w:val="false"/>
                <w:color w:val="auto"/>
                <w:szCs w:val="24"/>
                <w:lang w:val="en-GB" w:eastAsia="pl-PL"/>
              </w:rPr>
              <w:t>Support materials:</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Society of Professional Journalists, Case studies - Ethics,</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https://www.spj.org/ethicscasestudies.asp</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Project “ClickSafe”:</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https://www.klicksafe.de/fileadmin/media/documents/pdf/klicksa</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fe_Materialien/Lehrer_LH_Zusatz_Ethik/LH_Zusatzmodul_med</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ienethik_polnisch_Baustein_1.pdf</w:t>
            </w:r>
          </w:p>
          <w:p>
            <w:pPr>
              <w:pStyle w:val="Punktygwn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spacing w:lineRule="auto" w:line="240" w:before="0" w:after="0"/>
              <w:rPr>
                <w:lang w:val="en-GB"/>
              </w:rPr>
            </w:pPr>
            <w:r>
              <w:rPr>
                <w:rFonts w:cs="Tahoma" w:ascii="Corbel" w:hAnsi="Corbel"/>
                <w:b w:val="false"/>
                <w:caps w:val="false"/>
                <w:smallCaps w:val="false"/>
                <w:color w:val="auto"/>
                <w:szCs w:val="24"/>
                <w:lang w:val="en-GB" w:eastAsia="pl-PL"/>
              </w:rPr>
              <w:t>Repetitory:</w:t>
            </w:r>
          </w:p>
          <w:p>
            <w:pPr>
              <w:pStyle w:val="Punktygwne"/>
              <w:spacing w:lineRule="auto" w:line="240" w:before="0" w:after="0"/>
              <w:rPr>
                <w:lang w:val="en-GB"/>
              </w:rPr>
            </w:pPr>
            <w:r>
              <w:rPr>
                <w:rFonts w:cs="Tahoma" w:ascii="Corbel" w:hAnsi="Corbel"/>
                <w:b w:val="false"/>
                <w:caps w:val="false"/>
                <w:smallCaps w:val="false"/>
                <w:color w:val="auto"/>
                <w:szCs w:val="24"/>
                <w:lang w:val="en-GB" w:eastAsia="pl-PL"/>
              </w:rPr>
              <w:t>C</w:t>
            </w:r>
            <w:r>
              <w:rPr>
                <w:rFonts w:cs="Tahoma" w:ascii="Corbel" w:hAnsi="Corbel"/>
                <w:b w:val="false"/>
                <w:caps w:val="false"/>
                <w:smallCaps w:val="false"/>
                <w:color w:val="auto"/>
                <w:sz w:val="20"/>
                <w:szCs w:val="20"/>
                <w:lang w:val="en-GB" w:eastAsia="pl-PL"/>
              </w:rPr>
              <w:t>ommunication Ethics:</w:t>
            </w:r>
          </w:p>
          <w:p>
            <w:pPr>
              <w:pStyle w:val="Punktygwne"/>
              <w:spacing w:lineRule="auto" w:line="240" w:before="0" w:after="0"/>
              <w:rPr>
                <w:lang w:val="en-GB"/>
              </w:rPr>
            </w:pPr>
            <w:r>
              <w:rPr>
                <w:rFonts w:cs="Tahoma" w:ascii="Corbel" w:hAnsi="Corbel"/>
                <w:b w:val="false"/>
                <w:caps w:val="false"/>
                <w:smallCaps w:val="false"/>
                <w:color w:val="auto"/>
                <w:sz w:val="20"/>
                <w:szCs w:val="20"/>
                <w:lang w:val="en-GB" w:eastAsia="pl-PL"/>
              </w:rPr>
              <w:t>https://www.youtube.com/playlist?list=PLiu1DzylxwL_Ym41dP6Z8i6l3IOWJ4NGC</w:t>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Approved by the Head of the Department or an authorised person</w:t>
      </w:r>
    </w:p>
    <w:p>
      <w:pPr>
        <w:pStyle w:val="Normal"/>
        <w:rPr>
          <w:rFonts w:ascii="Corbel" w:hAnsi="Corbel"/>
          <w:color w:val="auto"/>
          <w:lang w:val="en-GB"/>
        </w:rPr>
      </w:pPr>
      <w:r>
        <w:rPr>
          <w:rFonts w:ascii="Corbel" w:hAnsi="Corbel"/>
          <w:color w:val="auto"/>
          <w:lang w:val="en-GB"/>
        </w:rPr>
      </w:r>
    </w:p>
    <w:p>
      <w:pPr>
        <w:pStyle w:val="Normal"/>
        <w:spacing w:before="0" w:after="200"/>
        <w:rPr/>
      </w:pPr>
      <w:r>
        <w:rPr/>
      </w:r>
    </w:p>
    <w:sectPr>
      <w:footerReference w:type="default" r:id="rId6"/>
      <w:type w:val="nextPage"/>
      <w:pgSz w:w="11906" w:h="16838"/>
      <w:pgMar w:left="1134" w:right="1134" w:header="0" w:top="113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Corbel">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auto" w:line="240" w:before="0" w:after="0"/>
      <w:jc w:val="center"/>
      <w:rPr/>
    </w:pPr>
    <w:r>
      <w:rPr/>
      <w:fldChar w:fldCharType="begin"/>
    </w:r>
    <w:r>
      <w:rPr/>
      <w:instrText>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4"/>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10d"/>
    <w:pPr>
      <w:widowControl/>
      <w:suppressAutoHyphens w:val="true"/>
      <w:bidi w:val="0"/>
      <w:spacing w:lineRule="auto" w:line="276" w:before="0" w:after="200"/>
      <w:jc w:val="left"/>
    </w:pPr>
    <w:rPr>
      <w:rFonts w:ascii="Times New Roman" w:hAnsi="Times New Roman" w:eastAsia="Calibri" w:cs="Times New Roman"/>
      <w:color w:val="00000A"/>
      <w:kern w:val="0"/>
      <w:sz w:val="24"/>
      <w:szCs w:val="22"/>
      <w:lang w:val="en-GB"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DejaVu Sans"/>
      <w:b/>
      <w:bCs/>
      <w:sz w:val="48"/>
      <w:szCs w:val="48"/>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link w:val="Pta"/>
    <w:uiPriority w:val="99"/>
    <w:qFormat/>
    <w:rsid w:val="00b3310d"/>
    <w:rPr>
      <w:rFonts w:eastAsia="Calibri"/>
      <w:szCs w:val="22"/>
    </w:rPr>
  </w:style>
  <w:style w:type="character" w:styleId="Pagenumber">
    <w:name w:val="page number"/>
    <w:basedOn w:val="DefaultParagraphFont"/>
    <w:semiHidden/>
    <w:qFormat/>
    <w:rsid w:val="00b3310d"/>
    <w:rPr/>
  </w:style>
  <w:style w:type="character" w:styleId="TekstpodstawowyZnak" w:customStyle="1">
    <w:name w:val="Tekst podstawowy Znak"/>
    <w:basedOn w:val="DefaultParagraphFont"/>
    <w:link w:val="Tretekstu"/>
    <w:uiPriority w:val="99"/>
    <w:semiHidden/>
    <w:qFormat/>
    <w:rsid w:val="00b3310d"/>
    <w:rPr>
      <w:rFonts w:eastAsia="Calibri"/>
      <w:szCs w:val="22"/>
    </w:rPr>
  </w:style>
  <w:style w:type="character" w:styleId="Annotationreference">
    <w:name w:val="annotation reference"/>
    <w:basedOn w:val="DefaultParagraphFont"/>
    <w:uiPriority w:val="99"/>
    <w:semiHidden/>
    <w:unhideWhenUsed/>
    <w:qFormat/>
    <w:rsid w:val="00783ea7"/>
    <w:rPr>
      <w:sz w:val="16"/>
      <w:szCs w:val="16"/>
    </w:rPr>
  </w:style>
  <w:style w:type="character" w:styleId="TextkomentraChar" w:customStyle="1">
    <w:name w:val="Text komentára Char"/>
    <w:basedOn w:val="DefaultParagraphFont"/>
    <w:link w:val="Textkomentra"/>
    <w:uiPriority w:val="99"/>
    <w:semiHidden/>
    <w:qFormat/>
    <w:rsid w:val="00783ea7"/>
    <w:rPr>
      <w:rFonts w:eastAsia="Calibri"/>
      <w:sz w:val="20"/>
      <w:szCs w:val="20"/>
    </w:rPr>
  </w:style>
  <w:style w:type="character" w:styleId="PredmetkomentraChar" w:customStyle="1">
    <w:name w:val="Predmet komentára Char"/>
    <w:basedOn w:val="TextkomentraChar"/>
    <w:link w:val="Predmetkomentra"/>
    <w:uiPriority w:val="99"/>
    <w:semiHidden/>
    <w:qFormat/>
    <w:rsid w:val="00783ea7"/>
    <w:rPr>
      <w:rFonts w:eastAsia="Calibri"/>
      <w:b/>
      <w:bCs/>
      <w:sz w:val="20"/>
      <w:szCs w:val="20"/>
    </w:rPr>
  </w:style>
  <w:style w:type="character" w:styleId="TextbublinyChar" w:customStyle="1">
    <w:name w:val="Text bubliny Char"/>
    <w:basedOn w:val="DefaultParagraphFont"/>
    <w:link w:val="Textbubliny"/>
    <w:uiPriority w:val="99"/>
    <w:semiHidden/>
    <w:qFormat/>
    <w:rsid w:val="00783ea7"/>
    <w:rPr>
      <w:rFonts w:ascii="Tahoma" w:hAnsi="Tahoma" w:eastAsia="Calibri" w:cs="Tahoma"/>
      <w:sz w:val="16"/>
      <w:szCs w:val="16"/>
    </w:rPr>
  </w:style>
  <w:style w:type="character" w:styleId="ListLabel1" w:customStyle="1">
    <w:name w:val="ListLabel 1"/>
    <w:qFormat/>
    <w:rPr>
      <w:b/>
      <w:color w:val="00000A"/>
    </w:rPr>
  </w:style>
  <w:style w:type="character" w:styleId="ListLabel2" w:customStyle="1">
    <w:name w:val="ListLabel 2"/>
    <w:qFormat/>
    <w:rPr>
      <w:i w:val="false"/>
    </w:rPr>
  </w:style>
  <w:style w:type="character" w:styleId="ListLabel3" w:customStyle="1">
    <w:name w:val="ListLabel 3"/>
    <w:qFormat/>
    <w:rPr>
      <w:b w:val="false"/>
      <w:i w:val="false"/>
      <w:color w:val="00000A"/>
    </w:rPr>
  </w:style>
  <w:style w:type="character" w:styleId="ListLabel4" w:customStyle="1">
    <w:name w:val="ListLabel 4"/>
    <w:qFormat/>
    <w:rPr>
      <w:color w:val="00000A"/>
    </w:rPr>
  </w:style>
  <w:style w:type="character" w:styleId="ListLabel5" w:customStyle="1">
    <w:name w:val="ListLabel 5"/>
    <w:qFormat/>
    <w:rPr>
      <w:b/>
      <w:i w:val="false"/>
      <w:color w:val="00000A"/>
    </w:rPr>
  </w:style>
  <w:style w:type="character" w:styleId="ListLabel6" w:customStyle="1">
    <w:name w:val="ListLabel 6"/>
    <w:qFormat/>
    <w:rPr>
      <w:color w:val="00000A"/>
      <w:sz w:val="24"/>
    </w:rPr>
  </w:style>
  <w:style w:type="character" w:styleId="ListLabel7" w:customStyle="1">
    <w:name w:val="ListLabel 7"/>
    <w:qFormat/>
    <w:rPr>
      <w:b/>
      <w:color w:val="00000A"/>
    </w:rPr>
  </w:style>
  <w:style w:type="character" w:styleId="ListLabel8" w:customStyle="1">
    <w:name w:val="ListLabel 8"/>
    <w:qFormat/>
    <w:rPr>
      <w:i w:val="false"/>
    </w:rPr>
  </w:style>
  <w:style w:type="character" w:styleId="ListLabel9" w:customStyle="1">
    <w:name w:val="ListLabel 9"/>
    <w:qFormat/>
    <w:rPr>
      <w:b w:val="false"/>
      <w:i w:val="false"/>
      <w:color w:val="00000A"/>
    </w:rPr>
  </w:style>
  <w:style w:type="character" w:styleId="ListLabel10" w:customStyle="1">
    <w:name w:val="ListLabel 10"/>
    <w:qFormat/>
    <w:rPr>
      <w:color w:val="00000A"/>
      <w:sz w:val="24"/>
    </w:rPr>
  </w:style>
  <w:style w:type="character" w:styleId="Emphasis">
    <w:name w:val="Emphasis"/>
    <w:basedOn w:val="DefaultParagraphFont"/>
    <w:uiPriority w:val="20"/>
    <w:qFormat/>
    <w:rsid w:val="008123d5"/>
    <w:rPr>
      <w:i/>
      <w:iCs/>
    </w:rPr>
  </w:style>
  <w:style w:type="character" w:styleId="InternetLink">
    <w:name w:val="Internet Link"/>
    <w:basedOn w:val="DefaultParagraphFont"/>
    <w:uiPriority w:val="99"/>
    <w:unhideWhenUsed/>
    <w:rsid w:val="006a69ba"/>
    <w:rPr>
      <w:color w:val="0000FF"/>
      <w:u w:val="single"/>
    </w:rPr>
  </w:style>
  <w:style w:type="character" w:styleId="ListLabel11">
    <w:name w:val="ListLabel 11"/>
    <w:qFormat/>
    <w:rPr>
      <w:b/>
      <w:color w:val="00000A"/>
    </w:rPr>
  </w:style>
  <w:style w:type="character" w:styleId="ListLabel12">
    <w:name w:val="ListLabel 12"/>
    <w:qFormat/>
    <w:rPr>
      <w:i w:val="false"/>
    </w:rPr>
  </w:style>
  <w:style w:type="character" w:styleId="ListLabel13">
    <w:name w:val="ListLabel 13"/>
    <w:qFormat/>
    <w:rPr>
      <w:b/>
      <w:i w:val="false"/>
      <w:color w:val="00000A"/>
    </w:rPr>
  </w:style>
  <w:style w:type="character" w:styleId="ListLabel14">
    <w:name w:val="ListLabel 14"/>
    <w:qFormat/>
    <w:rPr>
      <w:color w:val="00000A"/>
      <w:sz w:val="24"/>
    </w:rPr>
  </w:style>
  <w:style w:type="character" w:styleId="ListLabel15">
    <w:name w:val="ListLabel 15"/>
    <w:qFormat/>
    <w:rPr>
      <w:sz w:val="22"/>
    </w:rPr>
  </w:style>
  <w:style w:type="character" w:styleId="ListLabel16">
    <w:name w:val="ListLabel 16"/>
    <w:qFormat/>
    <w:rPr>
      <w:rFonts w:ascii="Corbel" w:hAnsi="Corbel"/>
      <w:szCs w:val="24"/>
    </w:rPr>
  </w:style>
  <w:style w:type="character" w:styleId="ListLabel17">
    <w:name w:val="ListLabel 17"/>
    <w:qFormat/>
    <w:rPr>
      <w:sz w:val="22"/>
    </w:rPr>
  </w:style>
  <w:style w:type="character" w:styleId="ListLabel18">
    <w:name w:val="ListLabel 18"/>
    <w:qFormat/>
    <w:rPr>
      <w:rFonts w:ascii="Corbel" w:hAnsi="Corbel"/>
      <w:szCs w:val="24"/>
    </w:rPr>
  </w:style>
  <w:style w:type="character" w:styleId="ListLabel19">
    <w:name w:val="ListLabel 19"/>
    <w:qFormat/>
    <w:rPr>
      <w:rFonts w:ascii="Corbel" w:hAnsi="Corbel" w:cs="Tahoma"/>
      <w:b w:val="false"/>
      <w:caps w:val="false"/>
      <w:smallCaps w:val="false"/>
      <w:color w:val="auto"/>
      <w:sz w:val="20"/>
      <w:szCs w:val="20"/>
      <w:lang w:val="en-GB" w:eastAsia="pl-PL"/>
    </w:rPr>
  </w:style>
  <w:style w:type="character" w:styleId="ListLabel20">
    <w:name w:val="ListLabel 20"/>
    <w:qFormat/>
    <w:rPr>
      <w:rFonts w:ascii="Corbel" w:hAnsi="Corbel" w:cs="Tahoma"/>
      <w:b w:val="false"/>
      <w:caps w:val="false"/>
      <w:smallCaps w:val="false"/>
      <w:color w:val="auto"/>
      <w:szCs w:val="24"/>
      <w:lang w:val="en-GB" w:eastAsia="pl-P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bidi w:val="0"/>
      <w:jc w:val="left"/>
    </w:pPr>
    <w:rPr>
      <w:rFonts w:ascii="Times New Roman" w:hAnsi="Times New Roman" w:eastAsia="SimSun" w:cs="Arial"/>
      <w:color w:val="auto"/>
      <w:kern w:val="0"/>
      <w:sz w:val="24"/>
      <w:szCs w:val="24"/>
      <w:lang w:val="en-GB" w:eastAsia="en-US" w:bidi="ar-S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keepNext w:val="true"/>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qFormat/>
    <w:rsid w:val="00b3310d"/>
    <w:pPr>
      <w:spacing w:lineRule="auto" w:line="288" w:before="0" w:after="120"/>
    </w:pPr>
    <w:rPr/>
  </w:style>
  <w:style w:type="paragraph" w:styleId="Signature">
    <w:name w:val="Signature"/>
    <w:basedOn w:val="Normal"/>
    <w:pPr>
      <w:suppressLineNumbers/>
      <w:spacing w:before="120" w:after="120"/>
    </w:pPr>
    <w:rPr>
      <w:rFonts w:cs="Arial"/>
      <w:i/>
      <w:iCs/>
      <w:szCs w:val="24"/>
    </w:rPr>
  </w:style>
  <w:style w:type="paragraph" w:styleId="Indeks" w:customStyle="1">
    <w:name w:val="Indeks"/>
    <w:basedOn w:val="Normal"/>
    <w:qFormat/>
    <w:pPr>
      <w:suppressLineNumbers/>
    </w:pPr>
    <w:rPr>
      <w:rFonts w:cs="Arial"/>
    </w:rPr>
  </w:style>
  <w:style w:type="paragraph" w:styleId="ListParagraph">
    <w:name w:val="List Paragraph"/>
    <w:basedOn w:val="Normal"/>
    <w:uiPriority w:val="34"/>
    <w:qFormat/>
    <w:rsid w:val="00b3310d"/>
    <w:pPr>
      <w:spacing w:before="0" w:after="200"/>
      <w:ind w:left="720" w:hanging="0"/>
      <w:contextualSpacing/>
    </w:pPr>
    <w:rPr/>
  </w:style>
  <w:style w:type="paragraph" w:styleId="Footer">
    <w:name w:val="Footer"/>
    <w:basedOn w:val="Normal"/>
    <w:link w:val="PtaChar"/>
    <w:uiPriority w:val="99"/>
    <w:rsid w:val="00b3310d"/>
    <w:pPr>
      <w:tabs>
        <w:tab w:val="center" w:pos="4536" w:leader="none"/>
        <w:tab w:val="right" w:pos="9072" w:leader="none"/>
      </w:tabs>
    </w:pPr>
    <w:rPr/>
  </w:style>
  <w:style w:type="paragraph" w:styleId="Punktygwne" w:customStyle="1">
    <w:name w:val="Punkty główne"/>
    <w:basedOn w:val="Normal"/>
    <w:qFormat/>
    <w:rsid w:val="00b3310d"/>
    <w:pPr>
      <w:spacing w:lineRule="auto" w:line="240" w:before="240" w:after="60"/>
    </w:pPr>
    <w:rPr>
      <w:b/>
      <w:smallCaps/>
    </w:rPr>
  </w:style>
  <w:style w:type="paragraph" w:styleId="Pytania" w:customStyle="1">
    <w:name w:val="Pytania"/>
    <w:basedOn w:val="Tretekstu"/>
    <w:qFormat/>
    <w:rsid w:val="00b3310d"/>
    <w:pPr>
      <w:tabs>
        <w:tab w:val="left" w:pos="-5643" w:leader="none"/>
      </w:tabs>
      <w:overflowPunct w:val="true"/>
      <w:spacing w:lineRule="auto" w:line="240" w:before="40" w:after="40"/>
      <w:jc w:val="both"/>
      <w:textAlignment w:val="baseline"/>
    </w:pPr>
    <w:rPr>
      <w:rFonts w:eastAsia="Times New Roman"/>
      <w:sz w:val="20"/>
      <w:szCs w:val="20"/>
      <w:lang w:eastAsia="pl-PL"/>
    </w:rPr>
  </w:style>
  <w:style w:type="paragraph" w:styleId="Odpowiedzi" w:customStyle="1">
    <w:name w:val="Odpowiedzi"/>
    <w:basedOn w:val="Normal"/>
    <w:qFormat/>
    <w:rsid w:val="00b3310d"/>
    <w:pPr>
      <w:spacing w:lineRule="auto" w:line="240" w:before="40" w:after="40"/>
    </w:pPr>
    <w:rPr>
      <w:b/>
      <w:color w:val="000000"/>
      <w:sz w:val="20"/>
    </w:rPr>
  </w:style>
  <w:style w:type="paragraph" w:styleId="Podpunkty" w:customStyle="1">
    <w:name w:val="Podpunkty"/>
    <w:basedOn w:val="Tretekstu"/>
    <w:qFormat/>
    <w:rsid w:val="00b3310d"/>
    <w:pPr>
      <w:tabs>
        <w:tab w:val="left" w:pos="-5814" w:leader="none"/>
      </w:tabs>
      <w:overflowPunct w:val="true"/>
      <w:spacing w:lineRule="auto" w:line="240" w:before="0" w:after="0"/>
      <w:ind w:left="360" w:hanging="0"/>
      <w:jc w:val="both"/>
      <w:textAlignment w:val="baseline"/>
    </w:pPr>
    <w:rPr>
      <w:rFonts w:eastAsia="Times New Roman"/>
      <w:b/>
      <w:sz w:val="22"/>
      <w:szCs w:val="20"/>
      <w:lang w:eastAsia="pl-PL"/>
    </w:rPr>
  </w:style>
  <w:style w:type="paragraph" w:styleId="Cele" w:customStyle="1">
    <w:name w:val="Cele"/>
    <w:basedOn w:val="Tretekstu"/>
    <w:qFormat/>
    <w:rsid w:val="00b3310d"/>
    <w:pPr>
      <w:tabs>
        <w:tab w:val="left" w:pos="-5814" w:leader="none"/>
        <w:tab w:val="left" w:pos="720" w:leader="none"/>
      </w:tabs>
      <w:overflowPunct w:val="true"/>
      <w:spacing w:lineRule="auto" w:line="240" w:before="120" w:after="0"/>
      <w:ind w:left="900" w:hanging="540"/>
      <w:jc w:val="both"/>
      <w:textAlignment w:val="baseline"/>
    </w:pPr>
    <w:rPr>
      <w:rFonts w:eastAsia="Times New Roman"/>
      <w:sz w:val="20"/>
      <w:szCs w:val="20"/>
      <w:lang w:eastAsia="pl-PL"/>
    </w:rPr>
  </w:style>
  <w:style w:type="paragraph" w:styleId="Nagwkitablic" w:customStyle="1">
    <w:name w:val="Nagłówki tablic"/>
    <w:basedOn w:val="Tretekstu"/>
    <w:uiPriority w:val="99"/>
    <w:qFormat/>
    <w:rsid w:val="00b3310d"/>
    <w:pPr/>
    <w:rPr/>
  </w:style>
  <w:style w:type="paragraph" w:styleId="Centralniewrubryce" w:customStyle="1">
    <w:name w:val="centralnie w rubryce"/>
    <w:basedOn w:val="Normal"/>
    <w:qFormat/>
    <w:rsid w:val="00b3310d"/>
    <w:pPr>
      <w:tabs>
        <w:tab w:val="left" w:pos="-5814" w:leader="none"/>
      </w:tabs>
      <w:overflowPunct w:val="true"/>
      <w:spacing w:lineRule="auto" w:line="240" w:before="40" w:after="40"/>
      <w:jc w:val="center"/>
    </w:pPr>
    <w:rPr>
      <w:rFonts w:eastAsia="Times New Roman"/>
      <w:sz w:val="20"/>
      <w:szCs w:val="20"/>
      <w:lang w:eastAsia="pl-PL"/>
    </w:rPr>
  </w:style>
  <w:style w:type="paragraph" w:styleId="Annotationtext">
    <w:name w:val="annotation text"/>
    <w:basedOn w:val="Normal"/>
    <w:link w:val="TextkomentraChar"/>
    <w:uiPriority w:val="99"/>
    <w:semiHidden/>
    <w:unhideWhenUsed/>
    <w:qFormat/>
    <w:rsid w:val="00783ea7"/>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783ea7"/>
    <w:pPr/>
    <w:rPr>
      <w:b/>
      <w:bCs/>
    </w:rPr>
  </w:style>
  <w:style w:type="paragraph" w:styleId="BalloonText">
    <w:name w:val="Balloon Text"/>
    <w:basedOn w:val="Normal"/>
    <w:link w:val="TextbublinyChar"/>
    <w:uiPriority w:val="99"/>
    <w:semiHidden/>
    <w:unhideWhenUsed/>
    <w:qFormat/>
    <w:rsid w:val="00783ea7"/>
    <w:pPr>
      <w:spacing w:lineRule="auto" w:line="240" w:before="0" w:after="0"/>
    </w:pPr>
    <w:rPr>
      <w:rFonts w:ascii="Tahoma" w:hAnsi="Tahoma" w:cs="Tahoma"/>
      <w:sz w:val="16"/>
      <w:szCs w:val="16"/>
    </w:rPr>
  </w:style>
  <w:style w:type="paragraph" w:styleId="Zawartoramki" w:customStyle="1">
    <w:name w:val="Zawartość ramki"/>
    <w:basedOn w:val="Normal"/>
    <w:qFormat/>
    <w:pPr/>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table" w:styleId="Mriekatabuky">
    <w:name w:val="Table Grid"/>
    <w:basedOn w:val="Normlnatabuka"/>
    <w:uiPriority w:val="59"/>
    <w:rsid w:val="00b3310d"/>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xfordre.com/communication/display/10.1093/acrefore/9780190228613.001.0001/acrefore-9780190228613-e-58;jsessionid=421B00F89E43D2D5CA29B040AB1FA9A5" TargetMode="External"/><Relationship Id="rId3" Type="http://schemas.openxmlformats.org/officeDocument/2006/relationships/hyperlink" Target="https://open.lib.umn.edu/publicspeaking/part/chapter-2-ethics-matters-understanding-the-ethics-of-public-speaking/" TargetMode="External"/><Relationship Id="rId4" Type="http://schemas.openxmlformats.org/officeDocument/2006/relationships/hyperlink" Target="https://2012books.lardbucket.org/books/an-introduction-to-organizational-communication/s04-03-communication-ethics.html" TargetMode="External"/><Relationship Id="rId5" Type="http://schemas.openxmlformats.org/officeDocument/2006/relationships/hyperlink" Target="https://press.rebus.community/intro-to-phil-ethics/"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6AA-1DED-40EF-8B47-E4516FD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LibreOffice/6.0.7.3$Linux_X86_64 LibreOffice_project/00m0$Build-3</Application>
  <Pages>6</Pages>
  <Words>1019</Words>
  <Characters>7319</Characters>
  <CharactersWithSpaces>8184</CharactersWithSpaces>
  <Paragraphs>190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2023-02-23T18:02:00Z</dcterms:created>
  <dc:creator>User</dc:creator>
  <dc:description/>
  <dc:language>pl-PL</dc:language>
  <cp:lastModifiedBy>Adam Kubiak</cp:lastModifiedBy>
  <cp:lastPrinted>2017-07-04T06:31:00Z</cp:lastPrinted>
  <dcterms:modified xsi:type="dcterms:W3CDTF">2023-02-26T16:52:29Z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