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15D3" w14:textId="3CC7A283" w:rsidR="00C34D92" w:rsidRDefault="005D2BAF" w:rsidP="00F2601A">
      <w:pPr>
        <w:pStyle w:val="Bezodstpw"/>
        <w:ind w:firstLine="0"/>
      </w:pPr>
      <w:proofErr w:type="spellStart"/>
      <w:r>
        <w:t>Veronika</w:t>
      </w:r>
      <w:proofErr w:type="spellEnd"/>
      <w:r>
        <w:t xml:space="preserve"> </w:t>
      </w:r>
      <w:proofErr w:type="spellStart"/>
      <w:r>
        <w:t>Koller</w:t>
      </w:r>
      <w:proofErr w:type="spellEnd"/>
      <w:r>
        <w:br/>
        <w:t>Lancaster University</w:t>
      </w:r>
    </w:p>
    <w:p w14:paraId="51B24325" w14:textId="0567AABC" w:rsidR="005D2BAF" w:rsidRDefault="005D2BAF" w:rsidP="0086691D">
      <w:pPr>
        <w:pStyle w:val="Nagwek1"/>
      </w:pPr>
      <w:r w:rsidRPr="005D2BAF">
        <w:t>Analiza tożsamości zbiorowej w</w:t>
      </w:r>
      <w:r w:rsidR="002962D5">
        <w:t xml:space="preserve"> dyskursie – parametry tekstowe </w:t>
      </w:r>
      <w:r w:rsidR="005B3F06">
        <w:br/>
      </w:r>
      <w:r w:rsidR="002962D5">
        <w:t>i kontekstowe</w:t>
      </w:r>
    </w:p>
    <w:p w14:paraId="76BE0977" w14:textId="616179CF" w:rsidR="005D2BAF" w:rsidRPr="005D2BAF" w:rsidRDefault="005D2BAF" w:rsidP="00F2601A">
      <w:pPr>
        <w:pStyle w:val="Bezodstpw"/>
        <w:spacing w:before="240"/>
        <w:ind w:firstLine="0"/>
        <w:rPr>
          <w:lang w:val="en-US"/>
        </w:rPr>
      </w:pPr>
      <w:r w:rsidRPr="00396591">
        <w:rPr>
          <w:lang w:val="en-US"/>
        </w:rPr>
        <w:t>Copyright © 2012</w:t>
      </w:r>
    </w:p>
    <w:p w14:paraId="46059A73" w14:textId="00D3F5F3" w:rsidR="005D2BAF" w:rsidRPr="005D2BAF" w:rsidRDefault="005D2BAF" w:rsidP="00F2601A">
      <w:pPr>
        <w:pStyle w:val="Bezodstpw"/>
        <w:ind w:firstLine="0"/>
        <w:rPr>
          <w:lang w:val="en-US"/>
        </w:rPr>
      </w:pPr>
      <w:r w:rsidRPr="00396591">
        <w:rPr>
          <w:i/>
          <w:iCs/>
          <w:lang w:val="en-US"/>
        </w:rPr>
        <w:t>Critical Approaches to Discourse Analysis across Disciplines</w:t>
      </w:r>
    </w:p>
    <w:p w14:paraId="60031002" w14:textId="77777777" w:rsidR="005D2BAF" w:rsidRPr="00396591" w:rsidRDefault="005D2BAF" w:rsidP="00F2601A">
      <w:pPr>
        <w:pStyle w:val="Bezodstpw"/>
        <w:ind w:firstLine="0"/>
        <w:rPr>
          <w:lang w:val="en-US"/>
        </w:rPr>
      </w:pPr>
      <w:r w:rsidRPr="00396591">
        <w:rPr>
          <w:lang w:val="en-US"/>
        </w:rPr>
        <w:t>http://cadaad.net/journal</w:t>
      </w:r>
    </w:p>
    <w:p w14:paraId="788581AE" w14:textId="5E8F2DBD" w:rsidR="005D2BAF" w:rsidRPr="00D80392" w:rsidRDefault="005D2BAF" w:rsidP="00F2601A">
      <w:pPr>
        <w:pStyle w:val="Bezodstpw"/>
        <w:ind w:firstLine="0"/>
        <w:rPr>
          <w:lang w:val="en-US"/>
        </w:rPr>
      </w:pPr>
      <w:r w:rsidRPr="00D80392">
        <w:rPr>
          <w:lang w:val="en-US"/>
        </w:rPr>
        <w:t>Vol. 5 (2): 19 – 38</w:t>
      </w:r>
    </w:p>
    <w:p w14:paraId="6BE0E8EB" w14:textId="79691222" w:rsidR="005D2BAF" w:rsidRPr="005D2BAF" w:rsidRDefault="005D2BAF" w:rsidP="00F2601A">
      <w:pPr>
        <w:pStyle w:val="Bezodstpw"/>
        <w:ind w:firstLine="0"/>
      </w:pPr>
      <w:r w:rsidRPr="00396591">
        <w:rPr>
          <w:lang w:val="pl"/>
        </w:rPr>
        <w:t>ISSN: 1752-3079</w:t>
      </w:r>
    </w:p>
    <w:p w14:paraId="3FC10DD2" w14:textId="75262CB0" w:rsidR="00C34D92" w:rsidRPr="007725E8" w:rsidRDefault="00861662" w:rsidP="0086691D">
      <w:pPr>
        <w:pStyle w:val="Nagwek1"/>
        <w:rPr>
          <w:sz w:val="24"/>
          <w:szCs w:val="24"/>
        </w:rPr>
      </w:pPr>
      <w:r w:rsidRPr="00EA26BD">
        <w:t>Streszczenie</w:t>
      </w:r>
    </w:p>
    <w:p w14:paraId="56B4A076" w14:textId="7B112970" w:rsidR="00C34D92" w:rsidRPr="004B00C9" w:rsidRDefault="00861662" w:rsidP="0086691D">
      <w:pPr>
        <w:ind w:firstLine="0"/>
      </w:pPr>
      <w:r w:rsidRPr="005D2BAF">
        <w:t xml:space="preserve">W niniejszym artykule zaprezentowano podejście </w:t>
      </w:r>
      <w:r w:rsidR="007745DC">
        <w:t>do</w:t>
      </w:r>
      <w:r w:rsidRPr="005D2BAF">
        <w:t xml:space="preserve"> analiz</w:t>
      </w:r>
      <w:r w:rsidR="007745DC">
        <w:t>y</w:t>
      </w:r>
      <w:r w:rsidRPr="005D2BAF">
        <w:t xml:space="preserve"> tożsamości zbiorowej</w:t>
      </w:r>
      <w:r w:rsidR="007745DC">
        <w:t xml:space="preserve"> </w:t>
      </w:r>
      <w:r w:rsidR="00BA52E0">
        <w:br/>
      </w:r>
      <w:r w:rsidR="007745DC">
        <w:t>w dyskursie</w:t>
      </w:r>
      <w:r w:rsidRPr="005D2BAF">
        <w:t xml:space="preserve">, które </w:t>
      </w:r>
      <w:r w:rsidR="00FF490A" w:rsidRPr="00684332">
        <w:t xml:space="preserve">odróżnia </w:t>
      </w:r>
      <w:r w:rsidRPr="00684332">
        <w:t xml:space="preserve">lingwistyczny i semiotyczny opis cech tekstu od </w:t>
      </w:r>
      <w:r w:rsidRPr="0037649D">
        <w:t>ich</w:t>
      </w:r>
      <w:r w:rsidRPr="00684332">
        <w:t xml:space="preserve"> interpretacji </w:t>
      </w:r>
      <w:proofErr w:type="spellStart"/>
      <w:r w:rsidRPr="00684332">
        <w:t>socjokognitywnej</w:t>
      </w:r>
      <w:proofErr w:type="spellEnd"/>
      <w:r w:rsidRPr="00684332">
        <w:t>. Tożsamoś</w:t>
      </w:r>
      <w:r w:rsidR="00A368BB">
        <w:t>ć</w:t>
      </w:r>
      <w:r w:rsidRPr="00684332">
        <w:t xml:space="preserve"> zbiorow</w:t>
      </w:r>
      <w:r w:rsidR="00A368BB">
        <w:t>ą</w:t>
      </w:r>
      <w:r w:rsidRPr="00684332">
        <w:t xml:space="preserve"> </w:t>
      </w:r>
      <w:r w:rsidR="00EA26BD">
        <w:t>opisano</w:t>
      </w:r>
      <w:r w:rsidRPr="00EA26BD">
        <w:t xml:space="preserve"> teoretycznie jako struktur</w:t>
      </w:r>
      <w:r w:rsidR="00A368BB">
        <w:t>ę</w:t>
      </w:r>
      <w:r w:rsidRPr="00EA26BD">
        <w:t xml:space="preserve"> konceptualn</w:t>
      </w:r>
      <w:r w:rsidR="00A368BB">
        <w:t>ą</w:t>
      </w:r>
      <w:r w:rsidRPr="00EA26BD">
        <w:t xml:space="preserve"> składają</w:t>
      </w:r>
      <w:r w:rsidR="00A368BB">
        <w:t>cą</w:t>
      </w:r>
      <w:r w:rsidRPr="00EA26BD">
        <w:t xml:space="preserve"> się z </w:t>
      </w:r>
      <w:r w:rsidR="00A5167B">
        <w:t>przekonań</w:t>
      </w:r>
      <w:r w:rsidRPr="00EA26BD">
        <w:t xml:space="preserve">, wiedzy, norm, wartości, </w:t>
      </w:r>
      <w:r w:rsidR="00241B35">
        <w:t>relacji międzyludzkich</w:t>
      </w:r>
      <w:r w:rsidR="00E72A93">
        <w:t>,</w:t>
      </w:r>
      <w:r w:rsidRPr="00EA26BD">
        <w:t xml:space="preserve"> oczekiwań, a także emocji, któr</w:t>
      </w:r>
      <w:r w:rsidR="00A82C17">
        <w:t>e</w:t>
      </w:r>
      <w:r w:rsidRPr="00EA26BD">
        <w:t xml:space="preserve"> pod</w:t>
      </w:r>
      <w:r w:rsidRPr="00684332">
        <w:t>lega</w:t>
      </w:r>
      <w:r w:rsidR="00A82C17">
        <w:t>ją</w:t>
      </w:r>
      <w:r w:rsidRPr="00684332">
        <w:t xml:space="preserve"> procesom wzmocnienia i negocjacji w dyskursie. </w:t>
      </w:r>
      <w:r w:rsidR="00EA26BD">
        <w:t>Zasugerowano, że rodzaj tożsamości zbiorow</w:t>
      </w:r>
      <w:r w:rsidR="00E72A93">
        <w:t>ej</w:t>
      </w:r>
      <w:r w:rsidR="00EA26BD">
        <w:t xml:space="preserve"> </w:t>
      </w:r>
      <w:r w:rsidR="005C5FE2">
        <w:t>konstruowanej</w:t>
      </w:r>
      <w:r w:rsidR="008A3688">
        <w:t xml:space="preserve"> </w:t>
      </w:r>
      <w:r w:rsidR="00EA26BD">
        <w:t xml:space="preserve">w tekstach </w:t>
      </w:r>
      <w:r w:rsidR="00EA26BD" w:rsidRPr="004B00C9">
        <w:t xml:space="preserve">oraz </w:t>
      </w:r>
      <w:r w:rsidR="00EA26BD" w:rsidRPr="00D80392">
        <w:rPr>
          <w:lang w:val="pl-PL"/>
        </w:rPr>
        <w:t>sposób</w:t>
      </w:r>
      <w:r w:rsidR="008113B0" w:rsidRPr="00D80392">
        <w:rPr>
          <w:lang w:val="pl-PL"/>
        </w:rPr>
        <w:t>, w jaki ten proces przebiega</w:t>
      </w:r>
      <w:r w:rsidR="008A3688">
        <w:t>,</w:t>
      </w:r>
      <w:r w:rsidRPr="00EA26BD">
        <w:t xml:space="preserve"> </w:t>
      </w:r>
      <w:r w:rsidR="00EA26BD" w:rsidRPr="00EA26BD">
        <w:t>determinowan</w:t>
      </w:r>
      <w:r w:rsidR="00A82C17">
        <w:t>e są</w:t>
      </w:r>
      <w:r w:rsidRPr="00EA26BD">
        <w:t xml:space="preserve"> przez pewne cechy językowe i semiotyczne</w:t>
      </w:r>
      <w:r w:rsidR="00D86C2E">
        <w:t>,</w:t>
      </w:r>
      <w:r w:rsidR="00FF1B2D">
        <w:t xml:space="preserve"> między innymi </w:t>
      </w:r>
      <w:r w:rsidR="00EE5551">
        <w:t>sposób przedstawienia</w:t>
      </w:r>
      <w:r w:rsidRPr="00684332">
        <w:t xml:space="preserve"> aktorów społecznych, typy procesów, ewaluacj</w:t>
      </w:r>
      <w:r w:rsidR="00D561AF">
        <w:t>ę</w:t>
      </w:r>
      <w:r w:rsidRPr="00684332">
        <w:t xml:space="preserve">, modalność, wyrażenia metaforyczne i </w:t>
      </w:r>
      <w:proofErr w:type="spellStart"/>
      <w:r w:rsidRPr="00684332">
        <w:t>intertekstualność</w:t>
      </w:r>
      <w:proofErr w:type="spellEnd"/>
      <w:r w:rsidRPr="00684332">
        <w:t>.</w:t>
      </w:r>
      <w:r w:rsidR="00070331">
        <w:t xml:space="preserve"> Następnie</w:t>
      </w:r>
      <w:r w:rsidRPr="00684332">
        <w:t xml:space="preserve"> </w:t>
      </w:r>
      <w:r w:rsidR="00070331">
        <w:t>w</w:t>
      </w:r>
      <w:r w:rsidRPr="00684332">
        <w:t xml:space="preserve">yniki </w:t>
      </w:r>
      <w:r w:rsidRPr="00EA26BD">
        <w:t>analizy skorelowano</w:t>
      </w:r>
      <w:r w:rsidR="00FF490A" w:rsidRPr="00684332">
        <w:t xml:space="preserve"> </w:t>
      </w:r>
      <w:r w:rsidRPr="00684332">
        <w:t xml:space="preserve">z kwestiami dotyczącymi uczestników i procesów praktyki dyskursywnej, danego </w:t>
      </w:r>
      <w:r w:rsidR="00070331">
        <w:t>gatunku</w:t>
      </w:r>
      <w:r w:rsidRPr="00684332">
        <w:t>, a także kontekstu społecznego i ideologii, która w nim dominuje. Proces analityczny zilustrowano przykładem w postaci fragmentu katalogu handlowego, który zbadano pod k</w:t>
      </w:r>
      <w:r w:rsidR="00E323F9">
        <w:t>ą</w:t>
      </w:r>
      <w:r w:rsidRPr="00684332">
        <w:t xml:space="preserve">tem konstrukcji dyskursywnej i reprezentacji </w:t>
      </w:r>
      <w:proofErr w:type="spellStart"/>
      <w:r w:rsidRPr="00684332">
        <w:t>socjokognitywnej</w:t>
      </w:r>
      <w:proofErr w:type="spellEnd"/>
      <w:r w:rsidRPr="00684332">
        <w:t xml:space="preserve"> </w:t>
      </w:r>
      <w:r w:rsidR="00FF490A" w:rsidRPr="00684332">
        <w:t>tożsamości</w:t>
      </w:r>
      <w:r w:rsidRPr="00684332">
        <w:t xml:space="preserve"> płciowej i seksualnej.</w:t>
      </w:r>
    </w:p>
    <w:p w14:paraId="13BB702D" w14:textId="24E773D5" w:rsidR="0086691D" w:rsidRDefault="00861662" w:rsidP="00D80392">
      <w:pPr>
        <w:ind w:firstLine="0"/>
      </w:pPr>
      <w:r w:rsidRPr="00684332">
        <w:rPr>
          <w:b/>
          <w:bCs/>
        </w:rPr>
        <w:t>Słowa kluczowe</w:t>
      </w:r>
      <w:r w:rsidRPr="00684332">
        <w:t>: dyskurs reklamowy,</w:t>
      </w:r>
      <w:r w:rsidR="0086691D" w:rsidRPr="0086691D">
        <w:t xml:space="preserve"> </w:t>
      </w:r>
      <w:r w:rsidR="0086691D" w:rsidRPr="00684332">
        <w:t>podejście kognitywne</w:t>
      </w:r>
      <w:r w:rsidR="0086691D">
        <w:t>,</w:t>
      </w:r>
      <w:r w:rsidRPr="00684332">
        <w:t xml:space="preserve"> tożsamość płciowa, tożsamość seksualna</w:t>
      </w:r>
      <w:r w:rsidR="0086691D">
        <w:t>, to</w:t>
      </w:r>
      <w:r w:rsidR="0086691D" w:rsidRPr="00684332">
        <w:t>żsamość zbiorowa</w:t>
      </w:r>
    </w:p>
    <w:p w14:paraId="429B6D00" w14:textId="37E6E4A8" w:rsidR="007774D8" w:rsidRPr="007725E8" w:rsidRDefault="00861662" w:rsidP="0086691D">
      <w:pPr>
        <w:pStyle w:val="Nagwek1"/>
      </w:pPr>
      <w:r w:rsidRPr="00684332">
        <w:t>1. Wstęp</w:t>
      </w:r>
    </w:p>
    <w:p w14:paraId="4323662A" w14:textId="015ADC17" w:rsidR="007E5D8E" w:rsidRDefault="00861662" w:rsidP="00D80392">
      <w:pPr>
        <w:ind w:firstLine="0"/>
        <w:rPr>
          <w:rFonts w:eastAsia="Georgia"/>
          <w:szCs w:val="24"/>
        </w:rPr>
      </w:pPr>
      <w:r w:rsidRPr="005D2BAF">
        <w:t xml:space="preserve">W niniejszym artykule zaprezentowano roboczy model analizy </w:t>
      </w:r>
      <w:r w:rsidRPr="00EA26BD">
        <w:t xml:space="preserve">tożsamości zbiorowej </w:t>
      </w:r>
      <w:r w:rsidR="00706858">
        <w:br/>
      </w:r>
      <w:r w:rsidRPr="00EA26BD">
        <w:t xml:space="preserve">w dyskursie. Model ten wykorzystuje podejście </w:t>
      </w:r>
      <w:proofErr w:type="spellStart"/>
      <w:r w:rsidRPr="00EA26BD">
        <w:t>socjokognitywne</w:t>
      </w:r>
      <w:proofErr w:type="spellEnd"/>
      <w:r w:rsidRPr="00EA26BD">
        <w:t xml:space="preserve"> jako jeden z głównych nurtów krytycznej analizy dyskursu (KAD). Wybór </w:t>
      </w:r>
      <w:r w:rsidR="00664321">
        <w:t>ten</w:t>
      </w:r>
      <w:r w:rsidRPr="00EA26BD">
        <w:t xml:space="preserve"> podyktowany jest rozumieniem tożsamości zbiorowej jako modelu mentalnego obejmującego </w:t>
      </w:r>
      <w:r w:rsidR="000C05C6">
        <w:t>komponenty</w:t>
      </w:r>
      <w:r w:rsidR="00FF490A" w:rsidRPr="00684332">
        <w:t xml:space="preserve"> kognitywne</w:t>
      </w:r>
      <w:r w:rsidRPr="00684332">
        <w:t xml:space="preserve"> </w:t>
      </w:r>
      <w:r w:rsidR="00706858">
        <w:br/>
      </w:r>
      <w:r w:rsidRPr="00684332">
        <w:t>i afektywne</w:t>
      </w:r>
      <w:r w:rsidR="00096743">
        <w:t xml:space="preserve"> oraz</w:t>
      </w:r>
      <w:r w:rsidRPr="00684332">
        <w:t xml:space="preserve"> podatnego na zmiany w procesie negocjacji w dyskursie.</w:t>
      </w:r>
      <w:r w:rsidR="004B00C9">
        <w:t xml:space="preserve"> </w:t>
      </w:r>
      <w:r w:rsidRPr="00684332">
        <w:t xml:space="preserve">Analiza językowa </w:t>
      </w:r>
      <w:r w:rsidR="00706858">
        <w:br/>
      </w:r>
      <w:r w:rsidRPr="00684332">
        <w:t xml:space="preserve">i dyskursywna takiego modelu wymaga teoretycznych i metodologicznych podstaw dostosowanych do złożoności zagadnienia tożsamości zbiorowej. Podstawy te zostały opisane </w:t>
      </w:r>
      <w:r w:rsidRPr="00D80392">
        <w:t xml:space="preserve">w </w:t>
      </w:r>
      <w:r w:rsidR="00D01FAE">
        <w:t>części</w:t>
      </w:r>
      <w:r w:rsidR="004B00C9" w:rsidRPr="00D80392">
        <w:t xml:space="preserve"> </w:t>
      </w:r>
      <w:r w:rsidRPr="00D80392">
        <w:t>2</w:t>
      </w:r>
      <w:r w:rsidR="00D01FAE">
        <w:t>, w któr</w:t>
      </w:r>
      <w:r w:rsidR="009C726E">
        <w:t>ej</w:t>
      </w:r>
      <w:r w:rsidR="00D01FAE">
        <w:t xml:space="preserve"> rozwinięte zostały</w:t>
      </w:r>
      <w:r w:rsidRPr="00684332">
        <w:t xml:space="preserve"> zagadnienia tożsamości zbiorowych </w:t>
      </w:r>
      <w:r w:rsidR="00FF490A" w:rsidRPr="00684332">
        <w:t>jako reprezentacji</w:t>
      </w:r>
      <w:r w:rsidRPr="00684332">
        <w:t xml:space="preserve"> </w:t>
      </w:r>
      <w:proofErr w:type="spellStart"/>
      <w:r w:rsidRPr="00684332">
        <w:t>socjokognitywnych</w:t>
      </w:r>
      <w:proofErr w:type="spellEnd"/>
      <w:r w:rsidRPr="00684332">
        <w:t xml:space="preserve"> oraz </w:t>
      </w:r>
      <w:r w:rsidR="0086691D">
        <w:t xml:space="preserve">przez </w:t>
      </w:r>
      <w:r w:rsidRPr="00684332">
        <w:t xml:space="preserve">przedstawienie podejścia </w:t>
      </w:r>
      <w:proofErr w:type="spellStart"/>
      <w:r w:rsidRPr="00684332">
        <w:t>socjokognitywnego</w:t>
      </w:r>
      <w:proofErr w:type="spellEnd"/>
      <w:r w:rsidRPr="00684332">
        <w:t xml:space="preserve"> w KAD. W</w:t>
      </w:r>
      <w:r w:rsidR="00E323F9">
        <w:t xml:space="preserve"> </w:t>
      </w:r>
      <w:r w:rsidR="00B503B1">
        <w:t>części</w:t>
      </w:r>
      <w:r w:rsidR="00E323F9">
        <w:t xml:space="preserve"> </w:t>
      </w:r>
      <w:r w:rsidRPr="00684332">
        <w:lastRenderedPageBreak/>
        <w:t xml:space="preserve">3 wskazano </w:t>
      </w:r>
      <w:r w:rsidR="00B02A14">
        <w:t>kryteria</w:t>
      </w:r>
      <w:r w:rsidRPr="00684332">
        <w:t xml:space="preserve"> analizy oraz sformułowano ogólne </w:t>
      </w:r>
      <w:r w:rsidR="006C5C0A">
        <w:t>pytania</w:t>
      </w:r>
      <w:r w:rsidRPr="00684332">
        <w:t xml:space="preserve"> badawcze na poszczególnych poziomach dyskursu: makro, </w:t>
      </w:r>
      <w:proofErr w:type="spellStart"/>
      <w:r w:rsidRPr="00684332">
        <w:t>mezo</w:t>
      </w:r>
      <w:proofErr w:type="spellEnd"/>
      <w:r w:rsidRPr="00684332">
        <w:t xml:space="preserve"> i mikro. Skoncentrowanie się na poziomie mikro uzasadniono założeniami teoretycznymi przyjętymi na potrzeby niniejszego artykułu, zgodnie z którymi wyniki analizy tekstu rozpatrywane są jako </w:t>
      </w:r>
      <w:bookmarkStart w:id="0" w:name="page2"/>
      <w:bookmarkEnd w:id="0"/>
      <w:r w:rsidR="0086691D">
        <w:t>podstawa dowodowa i punkt</w:t>
      </w:r>
      <w:r w:rsidRPr="007725E8">
        <w:rPr>
          <w:rFonts w:eastAsia="Georgia"/>
          <w:szCs w:val="24"/>
        </w:rPr>
        <w:t xml:space="preserve"> wyjściowy</w:t>
      </w:r>
      <w:r w:rsidR="003266ED">
        <w:rPr>
          <w:rFonts w:eastAsia="Georgia"/>
          <w:szCs w:val="24"/>
        </w:rPr>
        <w:t xml:space="preserve"> do </w:t>
      </w:r>
      <w:r w:rsidR="007735CA">
        <w:rPr>
          <w:rFonts w:eastAsia="Georgia"/>
          <w:szCs w:val="24"/>
        </w:rPr>
        <w:t xml:space="preserve">jego </w:t>
      </w:r>
      <w:r w:rsidR="003266ED">
        <w:rPr>
          <w:rFonts w:eastAsia="Georgia"/>
          <w:szCs w:val="24"/>
        </w:rPr>
        <w:t>interpretacji</w:t>
      </w:r>
      <w:r w:rsidRPr="007725E8">
        <w:rPr>
          <w:rFonts w:eastAsia="Georgia"/>
          <w:szCs w:val="24"/>
        </w:rPr>
        <w:t>.</w:t>
      </w:r>
    </w:p>
    <w:p w14:paraId="3570E4A1" w14:textId="434C5720" w:rsidR="004B00C9" w:rsidRDefault="00861662" w:rsidP="0086691D">
      <w:r w:rsidRPr="007725E8">
        <w:t xml:space="preserve">Analiza językowa jest o tyle ważniejsza, że stanowi podstawę do późniejszej analizy kontekstualnej. </w:t>
      </w:r>
      <w:r w:rsidRPr="004B00C9">
        <w:t xml:space="preserve">W </w:t>
      </w:r>
      <w:r w:rsidR="00C27A65">
        <w:t>części</w:t>
      </w:r>
      <w:r w:rsidRPr="004B00C9">
        <w:t xml:space="preserve"> 4 jej</w:t>
      </w:r>
      <w:r w:rsidRPr="007725E8">
        <w:t xml:space="preserve"> ogólne </w:t>
      </w:r>
      <w:r w:rsidR="000C0FC4">
        <w:t>założenia</w:t>
      </w:r>
      <w:r w:rsidRPr="007725E8">
        <w:t xml:space="preserve"> zostały zilustrowane poprzez analizę</w:t>
      </w:r>
      <w:r w:rsidR="00E72A93">
        <w:t xml:space="preserve"> przykładów</w:t>
      </w:r>
      <w:r w:rsidRPr="007725E8">
        <w:t xml:space="preserve"> tożsamości płciow</w:t>
      </w:r>
      <w:r w:rsidR="00E72A93">
        <w:t>ej</w:t>
      </w:r>
      <w:r w:rsidRPr="007725E8">
        <w:t xml:space="preserve"> i seksualn</w:t>
      </w:r>
      <w:r w:rsidR="00E72A93">
        <w:t>ej</w:t>
      </w:r>
      <w:r w:rsidRPr="007725E8">
        <w:t xml:space="preserve"> </w:t>
      </w:r>
      <w:r w:rsidR="00B0429B">
        <w:t>użytych</w:t>
      </w:r>
      <w:r w:rsidR="004B00C9">
        <w:t xml:space="preserve"> </w:t>
      </w:r>
      <w:r w:rsidRPr="007725E8">
        <w:t xml:space="preserve">w katalogu handlowym, który posłużył tu jako przykład dyskursu reklamowego. Zróżnicowanie sposobów przekazu w reklamie </w:t>
      </w:r>
      <w:r w:rsidR="00BA52E0">
        <w:br/>
      </w:r>
      <w:r w:rsidRPr="007725E8">
        <w:t>w zależności od płci było już oczywiście dogłębnie badane (np. Cook 2007: rozdziały 42</w:t>
      </w:r>
      <w:r w:rsidR="00F105FF">
        <w:t>–</w:t>
      </w:r>
      <w:r w:rsidR="00FF490A" w:rsidRPr="007725E8">
        <w:t xml:space="preserve">46; </w:t>
      </w:r>
      <w:proofErr w:type="spellStart"/>
      <w:r w:rsidR="00FF490A" w:rsidRPr="007725E8">
        <w:t>Goffman</w:t>
      </w:r>
      <w:proofErr w:type="spellEnd"/>
      <w:r w:rsidRPr="007725E8">
        <w:t xml:space="preserve"> 1979</w:t>
      </w:r>
      <w:r w:rsidR="00186738" w:rsidRPr="007725E8">
        <w:t>b</w:t>
      </w:r>
      <w:r w:rsidRPr="007725E8">
        <w:t xml:space="preserve">; Lazar 2006), dlatego celem </w:t>
      </w:r>
      <w:r w:rsidR="00B011D6">
        <w:t>pracy</w:t>
      </w:r>
      <w:r w:rsidR="004B00C9">
        <w:t xml:space="preserve"> </w:t>
      </w:r>
      <w:r w:rsidRPr="007725E8">
        <w:t xml:space="preserve">nie jest powiększenie pokaźnego </w:t>
      </w:r>
      <w:r w:rsidR="00FF490A" w:rsidRPr="007725E8">
        <w:t>już zasobu</w:t>
      </w:r>
      <w:r w:rsidRPr="007725E8">
        <w:t xml:space="preserve"> prac o kolejną, lecz </w:t>
      </w:r>
      <w:r w:rsidRPr="00B011D6">
        <w:t xml:space="preserve">zilustrowanie </w:t>
      </w:r>
      <w:r w:rsidR="00B011D6" w:rsidRPr="00D80392">
        <w:t xml:space="preserve">obranej </w:t>
      </w:r>
      <w:r w:rsidRPr="00D80392">
        <w:t>metodologii</w:t>
      </w:r>
      <w:r w:rsidRPr="00B011D6">
        <w:t>,</w:t>
      </w:r>
      <w:r w:rsidRPr="007725E8">
        <w:t xml:space="preserve"> </w:t>
      </w:r>
      <w:r w:rsidR="00B011D6">
        <w:t>opierającej</w:t>
      </w:r>
      <w:r w:rsidRPr="007725E8">
        <w:t xml:space="preserve"> się na pojęciu tożsamości zbiorowej</w:t>
      </w:r>
      <w:r w:rsidR="001465C4">
        <w:t>,</w:t>
      </w:r>
      <w:r w:rsidRPr="007725E8">
        <w:t xml:space="preserve"> rozumianej jako reprezentacja </w:t>
      </w:r>
      <w:proofErr w:type="spellStart"/>
      <w:r w:rsidRPr="007725E8">
        <w:t>socjokognitywna</w:t>
      </w:r>
      <w:proofErr w:type="spellEnd"/>
      <w:r w:rsidRPr="007725E8">
        <w:t>. Innym powodem takiego wyboru danych do badania jest założenie, że w tekstach o najbardziej przyziemnym charakterze</w:t>
      </w:r>
      <w:r w:rsidR="00225AEB">
        <w:t xml:space="preserve"> (dotyczących błahych spraw)</w:t>
      </w:r>
      <w:r w:rsidRPr="007725E8">
        <w:t xml:space="preserve"> powszechnie przyjmowane ideologie działają w sposób </w:t>
      </w:r>
      <w:r w:rsidR="001465C4">
        <w:t>domyślny</w:t>
      </w:r>
      <w:r w:rsidR="002E5254" w:rsidRPr="007725E8">
        <w:t xml:space="preserve"> i</w:t>
      </w:r>
      <w:r w:rsidRPr="007725E8">
        <w:t xml:space="preserve"> </w:t>
      </w:r>
      <w:r w:rsidR="00B011D6">
        <w:t>odbierane</w:t>
      </w:r>
      <w:r w:rsidR="00B011D6" w:rsidRPr="007725E8">
        <w:t xml:space="preserve"> </w:t>
      </w:r>
      <w:r w:rsidRPr="007725E8">
        <w:t xml:space="preserve">są </w:t>
      </w:r>
      <w:r w:rsidR="001F0D97">
        <w:t>zdroworozsądkowo</w:t>
      </w:r>
      <w:r w:rsidRPr="007725E8">
        <w:t xml:space="preserve">, zatem normatywne pojmowanie tożsamości płciowych i seksualnych można </w:t>
      </w:r>
      <w:r w:rsidR="002E5254" w:rsidRPr="007725E8">
        <w:t xml:space="preserve">zaobserwować </w:t>
      </w:r>
      <w:r w:rsidRPr="007725E8">
        <w:t xml:space="preserve">najwyraźniej w takich tekstach, które nie mówią o nich wprost, lecz konstruują je w ramach większego celu komunikacyjnego – w tym przypadku w celu zachęcenia klientów do zakupów u konkretnego sprzedawcy. </w:t>
      </w:r>
      <w:r w:rsidR="006210E7">
        <w:t>W końcowej części artykułu</w:t>
      </w:r>
      <w:r w:rsidRPr="007725E8">
        <w:t xml:space="preserve"> opisano </w:t>
      </w:r>
      <w:r w:rsidR="00A05C47">
        <w:t xml:space="preserve">wynikające z badania </w:t>
      </w:r>
      <w:r w:rsidRPr="007725E8">
        <w:t xml:space="preserve">implikacje, które </w:t>
      </w:r>
      <w:r w:rsidR="00A05C47" w:rsidRPr="00913BD1">
        <w:t>mają znaczenie</w:t>
      </w:r>
      <w:r w:rsidRPr="00913BD1">
        <w:t xml:space="preserve"> w szerszym kontekście językowych i dyskursywnych analiz tożsamości </w:t>
      </w:r>
      <w:r w:rsidR="00E72A93" w:rsidRPr="00CE71C2">
        <w:t>zbiorowej</w:t>
      </w:r>
      <w:r w:rsidRPr="00913BD1">
        <w:t>.</w:t>
      </w:r>
      <w:r w:rsidRPr="007725E8">
        <w:t xml:space="preserve"> Najpierw jednak, </w:t>
      </w:r>
      <w:r w:rsidR="00BA52E0">
        <w:br/>
      </w:r>
      <w:r w:rsidRPr="007725E8">
        <w:t xml:space="preserve">w </w:t>
      </w:r>
      <w:r w:rsidRPr="00D80392">
        <w:t>następn</w:t>
      </w:r>
      <w:r w:rsidR="0081186F" w:rsidRPr="00D80392">
        <w:t>ym</w:t>
      </w:r>
      <w:r w:rsidRPr="00D80392">
        <w:t xml:space="preserve"> </w:t>
      </w:r>
      <w:r w:rsidR="0081186F" w:rsidRPr="00D80392">
        <w:t>rozdziale</w:t>
      </w:r>
      <w:r w:rsidRPr="00F666B3">
        <w:t>,</w:t>
      </w:r>
      <w:r w:rsidRPr="007725E8">
        <w:t xml:space="preserve"> nakreślono podstawy teoretyczne analizy tożsamości w dyskursie.</w:t>
      </w:r>
    </w:p>
    <w:p w14:paraId="7920CEA4" w14:textId="61E8A78E" w:rsidR="00C34D92" w:rsidRPr="00684332" w:rsidRDefault="00861662" w:rsidP="0086691D">
      <w:pPr>
        <w:pStyle w:val="Nagwek1"/>
        <w:rPr>
          <w:sz w:val="20"/>
          <w:szCs w:val="20"/>
        </w:rPr>
      </w:pPr>
      <w:r w:rsidRPr="00684332">
        <w:t xml:space="preserve">2. </w:t>
      </w:r>
      <w:r w:rsidR="00F105FF">
        <w:t>Podejście</w:t>
      </w:r>
      <w:r w:rsidR="00F105FF" w:rsidRPr="00684332">
        <w:t xml:space="preserve"> </w:t>
      </w:r>
      <w:proofErr w:type="spellStart"/>
      <w:r w:rsidRPr="00684332">
        <w:t>socjokognitywne</w:t>
      </w:r>
      <w:proofErr w:type="spellEnd"/>
      <w:r w:rsidRPr="00684332">
        <w:t xml:space="preserve"> do tożsamości zbiorowej</w:t>
      </w:r>
    </w:p>
    <w:p w14:paraId="509A1450" w14:textId="3528A4C1" w:rsidR="00173B8A" w:rsidRDefault="00861662" w:rsidP="0086691D">
      <w:pPr>
        <w:ind w:firstLine="0"/>
      </w:pPr>
      <w:r w:rsidRPr="00F666B3">
        <w:t xml:space="preserve">W </w:t>
      </w:r>
      <w:r w:rsidR="00AC4EF2" w:rsidRPr="00D80392">
        <w:t>niniejs</w:t>
      </w:r>
      <w:r w:rsidR="00D70CD8">
        <w:t>zej części</w:t>
      </w:r>
      <w:r w:rsidRPr="00684332">
        <w:t xml:space="preserve"> wprowadzono pojęcie tożsamości zbiorow</w:t>
      </w:r>
      <w:r w:rsidR="00E72A93">
        <w:t xml:space="preserve">ej </w:t>
      </w:r>
      <w:r w:rsidRPr="00684332">
        <w:t xml:space="preserve">jako reprezentacji </w:t>
      </w:r>
      <w:proofErr w:type="spellStart"/>
      <w:r w:rsidRPr="00684332">
        <w:t>socjokognitywn</w:t>
      </w:r>
      <w:r w:rsidR="00E72A93">
        <w:t>ej</w:t>
      </w:r>
      <w:proofErr w:type="spellEnd"/>
      <w:r w:rsidRPr="00684332">
        <w:t xml:space="preserve"> u osób utożsamiających się z daną grupą. </w:t>
      </w:r>
      <w:r w:rsidR="005C5FE2">
        <w:t>Następnie r</w:t>
      </w:r>
      <w:r w:rsidRPr="00684332">
        <w:t>ozwinięto teorię konstruowania, negocjacji i zmian t</w:t>
      </w:r>
      <w:r w:rsidR="00E72A93">
        <w:t>ej</w:t>
      </w:r>
      <w:r w:rsidRPr="00684332">
        <w:t xml:space="preserve"> tożsamości poprzez interakcję dyskursywną wewnątrz grup oraz pomiędzy nimi. Przy rozumieniu dyskursu jako praktyki społecznej reprezentacje </w:t>
      </w:r>
      <w:proofErr w:type="spellStart"/>
      <w:r w:rsidRPr="00684332">
        <w:t>socjokognitywne</w:t>
      </w:r>
      <w:proofErr w:type="spellEnd"/>
      <w:r w:rsidRPr="00684332">
        <w:t xml:space="preserve"> autora tekstu </w:t>
      </w:r>
      <w:r w:rsidR="005D6099">
        <w:t xml:space="preserve">odnoszące się do </w:t>
      </w:r>
      <w:r w:rsidRPr="00684332">
        <w:t xml:space="preserve">grupy społecznej (niezależnie od tego, czy autor do tej grupy należy, czy nie) znajdują odbicie w </w:t>
      </w:r>
      <w:r w:rsidR="00913BD1">
        <w:t xml:space="preserve">sposobie konstrukcji tożsamości zbiorowej </w:t>
      </w:r>
      <w:r w:rsidR="00064B4D">
        <w:t>w tekście</w:t>
      </w:r>
      <w:r w:rsidRPr="00684332">
        <w:t xml:space="preserve">. Z tego właśnie powodu stosownym zdaje się przyjęcie podejścia </w:t>
      </w:r>
      <w:proofErr w:type="spellStart"/>
      <w:r w:rsidRPr="00684332">
        <w:t>socjokognitywnego</w:t>
      </w:r>
      <w:proofErr w:type="spellEnd"/>
      <w:r w:rsidRPr="00684332">
        <w:t xml:space="preserve"> przy analizie tożsamości </w:t>
      </w:r>
      <w:r w:rsidR="00E72A93" w:rsidRPr="00684332">
        <w:t>zbiorow</w:t>
      </w:r>
      <w:r w:rsidR="00E72A93">
        <w:t>ej</w:t>
      </w:r>
      <w:r w:rsidR="00E72A93" w:rsidRPr="00684332">
        <w:t xml:space="preserve"> </w:t>
      </w:r>
      <w:r w:rsidRPr="00684332">
        <w:t>w badaniach nad dyskursem.</w:t>
      </w:r>
      <w:r w:rsidR="00311DB9" w:rsidRPr="00684332">
        <w:t xml:space="preserve"> </w:t>
      </w:r>
    </w:p>
    <w:p w14:paraId="0BD9DF4E" w14:textId="6E8CB342" w:rsidR="00C34D92" w:rsidRPr="00684332" w:rsidRDefault="00604626" w:rsidP="0086691D">
      <w:pPr>
        <w:rPr>
          <w:sz w:val="20"/>
          <w:szCs w:val="20"/>
        </w:rPr>
      </w:pPr>
      <w:r>
        <w:t xml:space="preserve">Opierając się na </w:t>
      </w:r>
      <w:r w:rsidRPr="0086691D">
        <w:t>koncepcji</w:t>
      </w:r>
      <w:r>
        <w:t xml:space="preserve"> zaczerpniętej</w:t>
      </w:r>
      <w:r w:rsidR="00861662" w:rsidRPr="00684332">
        <w:t xml:space="preserve"> z psychologii społecznej (</w:t>
      </w:r>
      <w:proofErr w:type="spellStart"/>
      <w:r w:rsidR="00861662" w:rsidRPr="00684332">
        <w:t>Moscovici</w:t>
      </w:r>
      <w:proofErr w:type="spellEnd"/>
      <w:r w:rsidR="00861662" w:rsidRPr="00684332">
        <w:t xml:space="preserve"> 2000), reprezentacje społeczne, czyli mówiąc precyzyjniej, reprezentacje </w:t>
      </w:r>
      <w:proofErr w:type="spellStart"/>
      <w:r w:rsidR="00861662" w:rsidRPr="00684332">
        <w:t>socjokognitywne</w:t>
      </w:r>
      <w:proofErr w:type="spellEnd"/>
      <w:r w:rsidR="00861662" w:rsidRPr="00684332">
        <w:t xml:space="preserve"> (ang. </w:t>
      </w:r>
      <w:proofErr w:type="spellStart"/>
      <w:r w:rsidR="00861662" w:rsidRPr="007725E8">
        <w:rPr>
          <w:i/>
          <w:iCs/>
        </w:rPr>
        <w:t>socio-cognitive</w:t>
      </w:r>
      <w:proofErr w:type="spellEnd"/>
      <w:r w:rsidR="00861662" w:rsidRPr="007725E8">
        <w:rPr>
          <w:i/>
          <w:iCs/>
        </w:rPr>
        <w:t xml:space="preserve"> </w:t>
      </w:r>
      <w:proofErr w:type="spellStart"/>
      <w:r w:rsidR="00861662" w:rsidRPr="007725E8">
        <w:rPr>
          <w:i/>
          <w:iCs/>
        </w:rPr>
        <w:t>representations</w:t>
      </w:r>
      <w:proofErr w:type="spellEnd"/>
      <w:r w:rsidR="00F105FF">
        <w:t>, SCR</w:t>
      </w:r>
      <w:r w:rsidR="00861662" w:rsidRPr="00684332">
        <w:t xml:space="preserve">), to „zorganizowane, spójne, podzielane </w:t>
      </w:r>
      <w:r w:rsidR="006C4B98" w:rsidRPr="00684332">
        <w:t xml:space="preserve">przez członków </w:t>
      </w:r>
      <w:r w:rsidR="006C4B98" w:rsidRPr="00684332">
        <w:lastRenderedPageBreak/>
        <w:t xml:space="preserve">społeczeństwa </w:t>
      </w:r>
      <w:r w:rsidR="000B45C7">
        <w:t>zasoby wiedzy</w:t>
      </w:r>
      <w:r w:rsidR="00861662" w:rsidRPr="00684332">
        <w:t xml:space="preserve"> na temat danego obiektu lub dziedziny obiektów”</w:t>
      </w:r>
      <w:r w:rsidR="00F105FF">
        <w:rPr>
          <w:rStyle w:val="Odwoanieprzypisudolnego"/>
        </w:rPr>
        <w:footnoteReference w:id="1"/>
      </w:r>
      <w:r w:rsidR="00861662" w:rsidRPr="00684332">
        <w:t>, które łączą się ze „strukturami afektywnymi o wymiarze normatywnym i krytycznym”</w:t>
      </w:r>
      <w:r w:rsidR="00F105FF">
        <w:rPr>
          <w:rStyle w:val="Odwoanieprzypisudolnego"/>
        </w:rPr>
        <w:footnoteReference w:id="2"/>
      </w:r>
      <w:r w:rsidR="00861662" w:rsidRPr="00684332">
        <w:t xml:space="preserve"> (</w:t>
      </w:r>
      <w:proofErr w:type="spellStart"/>
      <w:r w:rsidR="00861662" w:rsidRPr="00684332">
        <w:t>Augoustinos</w:t>
      </w:r>
      <w:proofErr w:type="spellEnd"/>
      <w:r w:rsidR="00861662" w:rsidRPr="00684332">
        <w:t xml:space="preserve"> </w:t>
      </w:r>
      <w:r w:rsidR="00FF1B2D">
        <w:t>i in.</w:t>
      </w:r>
      <w:r w:rsidR="00861662" w:rsidRPr="00684332">
        <w:t xml:space="preserve"> 2006: 42, 94; należy pamiętać, że „obiektami” mogą być również pojęcia abstrakcyjne takie jak tożsamoś</w:t>
      </w:r>
      <w:r w:rsidR="00E72A93">
        <w:t>ć</w:t>
      </w:r>
      <w:r w:rsidR="00861662" w:rsidRPr="00684332">
        <w:t xml:space="preserve"> zbiorow</w:t>
      </w:r>
      <w:r w:rsidR="00E72A93">
        <w:t>a</w:t>
      </w:r>
      <w:r w:rsidR="00861662" w:rsidRPr="00684332">
        <w:t xml:space="preserve">). W związku z tym zawierają się w nich konkretne </w:t>
      </w:r>
      <w:r w:rsidR="00FF778B">
        <w:t>przekonania</w:t>
      </w:r>
      <w:r w:rsidR="00861662" w:rsidRPr="00684332">
        <w:t xml:space="preserve"> i/lub wiedza </w:t>
      </w:r>
      <w:r w:rsidR="00C97439">
        <w:t>(</w:t>
      </w:r>
      <w:r w:rsidR="00861662" w:rsidRPr="00684332">
        <w:t xml:space="preserve">w tym informacje zdobyte pośrednio </w:t>
      </w:r>
      <w:r w:rsidR="0018730A">
        <w:t>dzięki różnym</w:t>
      </w:r>
      <w:r w:rsidR="00F105FF">
        <w:t xml:space="preserve"> </w:t>
      </w:r>
      <w:r w:rsidR="00861662" w:rsidRPr="00684332">
        <w:t>środk</w:t>
      </w:r>
      <w:r w:rsidR="0018730A">
        <w:t>om</w:t>
      </w:r>
      <w:r w:rsidR="00861662" w:rsidRPr="00684332">
        <w:t xml:space="preserve"> przekazu</w:t>
      </w:r>
      <w:r w:rsidR="00C97439">
        <w:t>)</w:t>
      </w:r>
      <w:r w:rsidR="00861662" w:rsidRPr="00684332">
        <w:t xml:space="preserve">, normy </w:t>
      </w:r>
      <w:r w:rsidR="00BA52E0">
        <w:br/>
      </w:r>
      <w:r w:rsidR="00861662" w:rsidRPr="00684332">
        <w:t xml:space="preserve">i wartości wyznawane przez członków społeczności związanej z danym dyskursem, stosunek i oczekiwania wywodzące się z połączenia </w:t>
      </w:r>
      <w:r w:rsidR="00FF778B">
        <w:t>przekonań</w:t>
      </w:r>
      <w:r w:rsidR="00861662" w:rsidRPr="00684332">
        <w:t xml:space="preserve"> i wiedzy z jednej strony, a norm </w:t>
      </w:r>
      <w:r w:rsidR="00684B83">
        <w:br/>
      </w:r>
      <w:r w:rsidR="00861662" w:rsidRPr="00684332">
        <w:t xml:space="preserve">i wartości z drugiej, oraz emocje, które potęgują wszystkie </w:t>
      </w:r>
      <w:r w:rsidR="00F105FF">
        <w:t>wymienione wcześniej</w:t>
      </w:r>
      <w:r w:rsidR="00F105FF" w:rsidRPr="00684332">
        <w:t xml:space="preserve"> </w:t>
      </w:r>
      <w:r w:rsidR="00861662" w:rsidRPr="00684332">
        <w:t>elementy składowe.</w:t>
      </w:r>
      <w:r w:rsidR="0086691D">
        <w:t xml:space="preserve"> </w:t>
      </w:r>
      <w:r w:rsidR="00861662" w:rsidRPr="00684332">
        <w:t xml:space="preserve">Reprezentacje </w:t>
      </w:r>
      <w:proofErr w:type="spellStart"/>
      <w:r w:rsidR="00861662" w:rsidRPr="00684332">
        <w:t>socjokognitywne</w:t>
      </w:r>
      <w:proofErr w:type="spellEnd"/>
      <w:r w:rsidR="00861662" w:rsidRPr="00684332">
        <w:t xml:space="preserve"> </w:t>
      </w:r>
      <w:r w:rsidR="002E5254" w:rsidRPr="00684332">
        <w:t>grup</w:t>
      </w:r>
      <w:r w:rsidR="00384E93">
        <w:t xml:space="preserve"> </w:t>
      </w:r>
      <w:r w:rsidR="00861662" w:rsidRPr="00684332">
        <w:t xml:space="preserve">aktorów społecznych </w:t>
      </w:r>
      <w:r w:rsidR="00EE4938">
        <w:t>tworzone</w:t>
      </w:r>
      <w:r w:rsidR="00861662" w:rsidRPr="00684332">
        <w:t xml:space="preserve"> są na podstawie wiedzy na temat grup </w:t>
      </w:r>
      <w:r w:rsidR="00861662" w:rsidRPr="001E6AE6">
        <w:t>społecznych i</w:t>
      </w:r>
      <w:r w:rsidR="00861662" w:rsidRPr="00001645">
        <w:t>,</w:t>
      </w:r>
      <w:r w:rsidR="00861662" w:rsidRPr="00684332">
        <w:t xml:space="preserve"> co za tym idzie, oczekiwań z nimi związanych</w:t>
      </w:r>
      <w:r w:rsidR="00F105FF">
        <w:t>, natomiast stereotypy</w:t>
      </w:r>
      <w:r w:rsidR="00861662" w:rsidRPr="00684332">
        <w:t xml:space="preserve"> na temat grup społecznych to </w:t>
      </w:r>
      <w:r w:rsidR="000B45C7">
        <w:t>utrwalone</w:t>
      </w:r>
      <w:r w:rsidR="000B45C7" w:rsidRPr="00684332">
        <w:t xml:space="preserve"> </w:t>
      </w:r>
      <w:r w:rsidR="00861662" w:rsidRPr="00684332">
        <w:t xml:space="preserve">struktury wiedzy, które prowadzą do wyjaśniania </w:t>
      </w:r>
      <w:proofErr w:type="spellStart"/>
      <w:r w:rsidR="00861662" w:rsidRPr="00684332">
        <w:t>zachowań</w:t>
      </w:r>
      <w:proofErr w:type="spellEnd"/>
      <w:r w:rsidR="00861662" w:rsidRPr="00684332">
        <w:t xml:space="preserve"> członków grup za pomocą ich </w:t>
      </w:r>
      <w:r w:rsidR="002E5254" w:rsidRPr="00684332">
        <w:t>przynależności do</w:t>
      </w:r>
      <w:r w:rsidR="00861662" w:rsidRPr="00684332">
        <w:t xml:space="preserve"> tychże </w:t>
      </w:r>
      <w:r w:rsidR="002E5254" w:rsidRPr="00684332">
        <w:t>grup</w:t>
      </w:r>
      <w:r w:rsidR="00F105FF">
        <w:t>, a od których wyjątki</w:t>
      </w:r>
      <w:r w:rsidR="00F105FF" w:rsidRPr="00684332">
        <w:t xml:space="preserve"> </w:t>
      </w:r>
      <w:r w:rsidR="00861662" w:rsidRPr="00684332">
        <w:t>są ignorowane lub wyjaśniane czynnikami kontekstowymi (Kunda 1999: 313–</w:t>
      </w:r>
      <w:r w:rsidR="005C5FE2">
        <w:t>3</w:t>
      </w:r>
      <w:r w:rsidR="00861662" w:rsidRPr="00684332">
        <w:t>94). Co ważne, stereotypy można rozpatrywać jako konceptualizacje metonimiczne (</w:t>
      </w:r>
      <w:proofErr w:type="spellStart"/>
      <w:r w:rsidR="00861662" w:rsidRPr="00684332">
        <w:t>Lakoff</w:t>
      </w:r>
      <w:proofErr w:type="spellEnd"/>
      <w:r w:rsidR="00861662" w:rsidRPr="00684332">
        <w:t xml:space="preserve"> 1999), gdyż ich cechą jest utożsamianie charakterystyki pewnej podkategorii z całą kategorią nadrzędną. </w:t>
      </w:r>
      <w:bookmarkStart w:id="1" w:name="page3"/>
      <w:bookmarkEnd w:id="1"/>
      <w:r w:rsidR="007E5D8E">
        <w:t>Dla przykładu,</w:t>
      </w:r>
      <w:r w:rsidR="00861662" w:rsidRPr="00EA26BD">
        <w:t xml:space="preserve"> zainteresowanie modą i kosmetykami okaz</w:t>
      </w:r>
      <w:r w:rsidR="005C5FE2">
        <w:t>ywane przez</w:t>
      </w:r>
      <w:r w:rsidR="00861662" w:rsidRPr="00EA26BD">
        <w:t xml:space="preserve"> niektóre kobiety staje się częścią struktury reprezentacji </w:t>
      </w:r>
      <w:proofErr w:type="spellStart"/>
      <w:r w:rsidR="00861662" w:rsidRPr="00684332">
        <w:t>socjokognitywnej</w:t>
      </w:r>
      <w:proofErr w:type="spellEnd"/>
      <w:r w:rsidR="00861662" w:rsidRPr="00684332">
        <w:t xml:space="preserve"> całej grupy społecznej. </w:t>
      </w:r>
      <w:r w:rsidR="00684B83">
        <w:br/>
      </w:r>
      <w:r w:rsidR="00861662" w:rsidRPr="00684332">
        <w:t xml:space="preserve">W przypadku tożsamości płciowej, często </w:t>
      </w:r>
      <w:proofErr w:type="spellStart"/>
      <w:r w:rsidR="00861662" w:rsidRPr="00684332">
        <w:t>konceptualizowanej</w:t>
      </w:r>
      <w:proofErr w:type="spellEnd"/>
      <w:r w:rsidR="00861662" w:rsidRPr="00684332">
        <w:t xml:space="preserve"> jako kategoria binarna, dwie grupy społeczne </w:t>
      </w:r>
      <w:r w:rsidR="007E5D8E">
        <w:t>konstytuują</w:t>
      </w:r>
      <w:r w:rsidR="002E5254" w:rsidRPr="00684332">
        <w:t xml:space="preserve"> siebie</w:t>
      </w:r>
      <w:r w:rsidR="00861662" w:rsidRPr="00684332">
        <w:t xml:space="preserve"> nawzajem (zob. </w:t>
      </w:r>
      <w:r w:rsidR="00757534" w:rsidRPr="00001645">
        <w:t>podrozdział</w:t>
      </w:r>
      <w:r w:rsidR="00861662" w:rsidRPr="00684332">
        <w:t xml:space="preserve"> 4.3.), a elementy </w:t>
      </w:r>
      <w:r w:rsidR="002E5254" w:rsidRPr="00684332">
        <w:t xml:space="preserve">składowe </w:t>
      </w:r>
      <w:r w:rsidR="00861662" w:rsidRPr="00684332">
        <w:t xml:space="preserve">stereotypów na temat jednej z nich są tym samym sprzeczne </w:t>
      </w:r>
      <w:r w:rsidR="002E5254" w:rsidRPr="00684332">
        <w:t>ze stereotypami</w:t>
      </w:r>
      <w:r w:rsidR="00861662" w:rsidRPr="00684332">
        <w:t xml:space="preserve"> na temat drugiej</w:t>
      </w:r>
      <w:r w:rsidR="002E5254" w:rsidRPr="00684332">
        <w:t xml:space="preserve"> grupy</w:t>
      </w:r>
      <w:r w:rsidR="00861662" w:rsidRPr="00684332">
        <w:t xml:space="preserve">. Stereotypy </w:t>
      </w:r>
      <w:r w:rsidR="007E5D8E">
        <w:t xml:space="preserve">to zjawiska </w:t>
      </w:r>
      <w:r w:rsidR="00861662" w:rsidRPr="00684332">
        <w:t xml:space="preserve">efektywne kognitywnie, ponieważ aktywują się </w:t>
      </w:r>
      <w:r w:rsidR="00001645">
        <w:t>w wyniku</w:t>
      </w:r>
      <w:r w:rsidR="00F5242D" w:rsidRPr="00684332">
        <w:t xml:space="preserve"> </w:t>
      </w:r>
      <w:r w:rsidR="006C3A66">
        <w:t>zetknięcia się</w:t>
      </w:r>
      <w:r w:rsidR="00861662" w:rsidRPr="00684332">
        <w:t xml:space="preserve"> z członkiem danej grupy społecznej bez </w:t>
      </w:r>
      <w:r w:rsidR="00F5242D">
        <w:t>wyraźnej</w:t>
      </w:r>
      <w:r w:rsidR="00F5242D" w:rsidRPr="00684332">
        <w:t xml:space="preserve"> </w:t>
      </w:r>
      <w:r w:rsidR="00861662" w:rsidRPr="00684332">
        <w:t xml:space="preserve">potrzeby (lub też </w:t>
      </w:r>
      <w:r w:rsidR="00F5242D">
        <w:t xml:space="preserve">jakiejkolwiek </w:t>
      </w:r>
      <w:r w:rsidR="00861662" w:rsidRPr="00684332">
        <w:t>potrzeby) odwoływania się do dostępnych</w:t>
      </w:r>
      <w:r w:rsidR="007E5D8E">
        <w:t xml:space="preserve"> w danym momencie</w:t>
      </w:r>
      <w:r w:rsidR="00861662" w:rsidRPr="00684332">
        <w:t xml:space="preserve"> faktów. W ten sposób stereotypy pomagają zrozumieć obserwowane u innych zachowania, </w:t>
      </w:r>
      <w:r w:rsidR="00062B44">
        <w:t>cechy</w:t>
      </w:r>
      <w:r w:rsidR="00861662" w:rsidRPr="00684332">
        <w:t xml:space="preserve"> i postawy, ale jednocześnie pomijają istniejące wewnątrz danej grupy różnice, a wynikające z nich uprzedzenia z pewnością mogą szkodzić relacjom społecznym z członkami danej grupy oraz ich wizerunkowi. Dzieje się tak zwłaszcza w przypadku stereotypów</w:t>
      </w:r>
      <w:r w:rsidR="005D6099">
        <w:t xml:space="preserve"> o nacechowaniu negatywnym.</w:t>
      </w:r>
      <w:r w:rsidR="00861662" w:rsidRPr="00684332">
        <w:t xml:space="preserve"> Stereotypy pozytywne z kolei – na przykład przekonanie, że wszystkie osoby należące do grupy społecznej „kobiety” są wrażliwe i wspierające – są </w:t>
      </w:r>
      <w:r w:rsidR="006C4B98" w:rsidRPr="00684332">
        <w:t xml:space="preserve">rzadziej </w:t>
      </w:r>
      <w:r w:rsidR="00861662" w:rsidRPr="00684332">
        <w:t xml:space="preserve">omawiane </w:t>
      </w:r>
      <w:r w:rsidR="00684B83">
        <w:br/>
      </w:r>
      <w:r w:rsidR="00861662" w:rsidRPr="00684332">
        <w:t>w literaturze. Nie należy ich mylić z typami idealnymi, które można opisać teoretycznie jako skrajne przykłady prototypów (</w:t>
      </w:r>
      <w:proofErr w:type="spellStart"/>
      <w:r w:rsidR="00861662" w:rsidRPr="00684332">
        <w:t>Bless</w:t>
      </w:r>
      <w:proofErr w:type="spellEnd"/>
      <w:r w:rsidR="00861662" w:rsidRPr="00684332">
        <w:t xml:space="preserve"> </w:t>
      </w:r>
      <w:r w:rsidR="00FF1B2D">
        <w:t>i in.</w:t>
      </w:r>
      <w:r w:rsidR="00861662" w:rsidRPr="00684332">
        <w:t xml:space="preserve"> 2004: 57), gdzie prototypy są strukturami abstrakcyjnej wiedzy o danym elemencie.</w:t>
      </w:r>
    </w:p>
    <w:p w14:paraId="1A504C88" w14:textId="361E07A1" w:rsidR="00C34D92" w:rsidRPr="005D2BAF" w:rsidRDefault="00861662" w:rsidP="0086691D">
      <w:r w:rsidRPr="007725E8">
        <w:lastRenderedPageBreak/>
        <w:t xml:space="preserve">Co ważne, reprezentacje </w:t>
      </w:r>
      <w:proofErr w:type="spellStart"/>
      <w:r w:rsidRPr="007725E8">
        <w:t>socjokognitywne</w:t>
      </w:r>
      <w:proofErr w:type="spellEnd"/>
      <w:r w:rsidRPr="007725E8">
        <w:t xml:space="preserve"> nie istnieją jako modele mentalne</w:t>
      </w:r>
      <w:r w:rsidR="004B00C9">
        <w:t xml:space="preserve"> </w:t>
      </w:r>
      <w:r w:rsidRPr="007725E8">
        <w:t>danej jednostki, ale jako struktury poznawcze wspólne dla członków konkretnej grupy. W związku z tym są one „konstruowane społecznie i dyskursywnie w procesie komunikacji”</w:t>
      </w:r>
      <w:r w:rsidR="007E5D8E">
        <w:rPr>
          <w:rStyle w:val="Odwoanieprzypisudolnego"/>
        </w:rPr>
        <w:footnoteReference w:id="3"/>
      </w:r>
      <w:r w:rsidRPr="007725E8">
        <w:t>, równocześnie tworzą</w:t>
      </w:r>
      <w:r w:rsidR="008A60EA">
        <w:t>c</w:t>
      </w:r>
      <w:r w:rsidRPr="007725E8">
        <w:t xml:space="preserve"> poszczególne przypadki tożsamości zbiorowej oraz relacji między nimi przez sam fakt bycia przedmiotem komunikacji, a także są podatne na „ciągłe przekształcenia ze względu na okresowe zmiany charakteru zależności między grupami”</w:t>
      </w:r>
      <w:r w:rsidR="007E5D8E">
        <w:rPr>
          <w:rStyle w:val="Odwoanieprzypisudolnego"/>
        </w:rPr>
        <w:footnoteReference w:id="4"/>
      </w:r>
      <w:r w:rsidRPr="007725E8">
        <w:t xml:space="preserve"> (</w:t>
      </w:r>
      <w:proofErr w:type="spellStart"/>
      <w:r w:rsidRPr="007725E8">
        <w:t>Augoustinos</w:t>
      </w:r>
      <w:proofErr w:type="spellEnd"/>
      <w:r w:rsidRPr="007725E8">
        <w:t xml:space="preserve"> </w:t>
      </w:r>
      <w:r w:rsidR="00FF1B2D">
        <w:t>i in.</w:t>
      </w:r>
      <w:r w:rsidRPr="007725E8">
        <w:t xml:space="preserve"> 2006: 258–259). Oznacza to, że reprezentacje </w:t>
      </w:r>
      <w:proofErr w:type="spellStart"/>
      <w:r w:rsidRPr="007725E8">
        <w:t>socjokognitywne</w:t>
      </w:r>
      <w:proofErr w:type="spellEnd"/>
      <w:r w:rsidRPr="007725E8">
        <w:t xml:space="preserve"> są przynajmniej po części tworzone </w:t>
      </w:r>
      <w:proofErr w:type="spellStart"/>
      <w:r w:rsidRPr="007725E8">
        <w:t>intertekstualnie</w:t>
      </w:r>
      <w:proofErr w:type="spellEnd"/>
      <w:r w:rsidRPr="007725E8">
        <w:t xml:space="preserve">, tj. za sprawą rozpowszechniania tekstów z nimi powiązanych wewnątrz społeczności dyskursywnych oraz pomiędzy nimi. Mamy tu więc do czynienia </w:t>
      </w:r>
      <w:r w:rsidR="00684B83">
        <w:br/>
      </w:r>
      <w:r w:rsidRPr="007725E8">
        <w:t xml:space="preserve">z cyklicznym modelem poznania i dyskursu: poznanie znajduje swoje odzwierciedlenie </w:t>
      </w:r>
      <w:r w:rsidR="00684B83">
        <w:br/>
      </w:r>
      <w:r w:rsidRPr="007725E8">
        <w:t xml:space="preserve">w dyskursie, a jednocześnie jest przez ten dyskurs kształtowane. Ten aspekt dotyczący elementu społecznego w konstruowaniu reprezentacji </w:t>
      </w:r>
      <w:proofErr w:type="spellStart"/>
      <w:r w:rsidRPr="007725E8">
        <w:t>socjokognitywnych</w:t>
      </w:r>
      <w:proofErr w:type="spellEnd"/>
      <w:r w:rsidRPr="007725E8">
        <w:t xml:space="preserve"> pociąga za sobą fakt, że są one związane z kulturą, a ich powstawanie zbiega się w czasie z określonymi momentami w historii. W przypadku tożsamości zbiorow</w:t>
      </w:r>
      <w:r w:rsidR="00E72A93">
        <w:t>ej</w:t>
      </w:r>
      <w:r w:rsidRPr="007725E8">
        <w:t xml:space="preserve"> związan</w:t>
      </w:r>
      <w:r w:rsidR="00E72A93">
        <w:t>ej</w:t>
      </w:r>
      <w:r w:rsidRPr="007725E8">
        <w:t xml:space="preserve"> z płciowością i seksualnością, konstruowan</w:t>
      </w:r>
      <w:r w:rsidR="00FF75F1">
        <w:t>ej</w:t>
      </w:r>
      <w:r w:rsidRPr="007725E8">
        <w:t xml:space="preserve"> i negocjowa</w:t>
      </w:r>
      <w:r w:rsidR="00E72A93">
        <w:t>n</w:t>
      </w:r>
      <w:r w:rsidR="00FF75F1">
        <w:t>ej</w:t>
      </w:r>
      <w:r w:rsidRPr="007725E8">
        <w:t xml:space="preserve"> we współczesnym dyskursie reklamowym, takim momentem jest kapitalizm ukierunkowany na konsumpcję, </w:t>
      </w:r>
      <w:r w:rsidR="00D25306">
        <w:t>występując</w:t>
      </w:r>
      <w:r w:rsidRPr="007725E8">
        <w:t xml:space="preserve">y w postindustrialnych gospodarkach </w:t>
      </w:r>
      <w:r w:rsidR="001F7E56">
        <w:t>w pierwszych latach</w:t>
      </w:r>
      <w:r w:rsidRPr="007725E8">
        <w:t xml:space="preserve"> XXI wieku. Jak pokazała historia, reprezentacje </w:t>
      </w:r>
      <w:proofErr w:type="spellStart"/>
      <w:r w:rsidRPr="007725E8">
        <w:t>socjokognitywne</w:t>
      </w:r>
      <w:proofErr w:type="spellEnd"/>
      <w:r w:rsidRPr="007725E8">
        <w:t xml:space="preserve"> są dynamiczne i zmienne, między innymi dlatego, że ich elementy mogą wykazywać wzajemną sprzeczność, przez co same reprezentacje nie są wewnętrznie spójne </w:t>
      </w:r>
      <w:r w:rsidR="00684B83">
        <w:br/>
      </w:r>
      <w:r w:rsidRPr="007725E8">
        <w:t>i mogą ulegać przemianom na przestrzeni czasu (</w:t>
      </w:r>
      <w:proofErr w:type="spellStart"/>
      <w:r w:rsidRPr="007725E8">
        <w:t>Augoustinos</w:t>
      </w:r>
      <w:proofErr w:type="spellEnd"/>
      <w:r w:rsidRPr="007725E8">
        <w:t xml:space="preserve"> </w:t>
      </w:r>
      <w:r w:rsidR="00FF1B2D">
        <w:t>i in.</w:t>
      </w:r>
      <w:r w:rsidRPr="007725E8">
        <w:t xml:space="preserve"> 2006: 99).</w:t>
      </w:r>
    </w:p>
    <w:p w14:paraId="04AE9BA4" w14:textId="39177FEF" w:rsidR="00C34D92" w:rsidRDefault="00861662" w:rsidP="00747BF3">
      <w:r w:rsidRPr="007725E8">
        <w:t xml:space="preserve">Reprezentacje </w:t>
      </w:r>
      <w:proofErr w:type="spellStart"/>
      <w:r w:rsidRPr="007725E8">
        <w:t>socjokognitywne</w:t>
      </w:r>
      <w:proofErr w:type="spellEnd"/>
      <w:r w:rsidRPr="007725E8">
        <w:t xml:space="preserve"> tożsamości związanej z płciowością i seksualnością są konstruowane, negocjowane, wzmacniane i ewentualnie podważane zarówno w dyskursie, jak i za jego pomocą – </w:t>
      </w:r>
      <w:r w:rsidR="00F5242D">
        <w:t>przyjmując, iż dyskurs to</w:t>
      </w:r>
      <w:r w:rsidRPr="007725E8">
        <w:t xml:space="preserve"> użyci</w:t>
      </w:r>
      <w:r w:rsidR="00F5242D">
        <w:t>e</w:t>
      </w:r>
      <w:r w:rsidRPr="007725E8">
        <w:t xml:space="preserve"> języka w funkcji praktyki społecznej opartej na wiedzy. Należy tu zwrócić uwagę na niejednoznaczność terminu „dyskurs”, który może przyjmować </w:t>
      </w:r>
      <w:r w:rsidR="00F5242D">
        <w:t>formę liczby</w:t>
      </w:r>
      <w:r w:rsidR="00F5242D" w:rsidRPr="007725E8">
        <w:t xml:space="preserve"> </w:t>
      </w:r>
      <w:r w:rsidRPr="007725E8">
        <w:t>mnog</w:t>
      </w:r>
      <w:r w:rsidR="00F5242D">
        <w:t>iej</w:t>
      </w:r>
      <w:r w:rsidRPr="007725E8">
        <w:t xml:space="preserve"> lub też nie</w:t>
      </w:r>
      <w:r w:rsidR="00384E93">
        <w:rPr>
          <w:rStyle w:val="Odwoanieprzypisudolnego"/>
        </w:rPr>
        <w:footnoteReference w:id="5"/>
      </w:r>
      <w:r w:rsidR="00FC46B0">
        <w:t>.</w:t>
      </w:r>
      <w:r w:rsidRPr="007725E8">
        <w:t xml:space="preserve"> „Dyskurs” używany jako </w:t>
      </w:r>
      <w:r w:rsidRPr="007725E8">
        <w:rPr>
          <w:i/>
          <w:iCs/>
        </w:rPr>
        <w:t>singulare tantum</w:t>
      </w:r>
      <w:r w:rsidRPr="007725E8">
        <w:t xml:space="preserve"> może otrzymywać przydawki oznaczające kontekst historyczny lub realia społeczne, </w:t>
      </w:r>
      <w:r w:rsidR="00684B83">
        <w:br/>
      </w:r>
      <w:r w:rsidRPr="007725E8">
        <w:t xml:space="preserve">w którym badane zjawisko </w:t>
      </w:r>
      <w:r w:rsidR="00F5242D">
        <w:t>jest lokowane</w:t>
      </w:r>
      <w:r w:rsidRPr="007725E8">
        <w:t xml:space="preserve">, </w:t>
      </w:r>
      <w:r w:rsidR="00AF2B31">
        <w:t>na przykład</w:t>
      </w:r>
      <w:r w:rsidRPr="007725E8">
        <w:t xml:space="preserve"> „polityczny dyskurs późnego XIX wieku” lub „dyskurs reklamowy późnego kapitalizmu”.</w:t>
      </w:r>
      <w:r w:rsidR="001F7E56">
        <w:t xml:space="preserve"> Natomiast</w:t>
      </w:r>
      <w:r w:rsidRPr="007725E8">
        <w:t xml:space="preserve"> </w:t>
      </w:r>
      <w:r w:rsidR="001F7E56">
        <w:t>p</w:t>
      </w:r>
      <w:r w:rsidRPr="007725E8">
        <w:t>ojedyncze</w:t>
      </w:r>
      <w:r w:rsidR="00980438">
        <w:t xml:space="preserve"> policzalne</w:t>
      </w:r>
      <w:r w:rsidRPr="007725E8">
        <w:t xml:space="preserve"> dyskursy są za to odróżniane od siebie </w:t>
      </w:r>
      <w:r w:rsidR="00253117">
        <w:t>dzięki uwzględnieniu</w:t>
      </w:r>
      <w:r w:rsidRPr="007725E8">
        <w:t xml:space="preserve"> punktu widzenia, tematyki, a także </w:t>
      </w:r>
      <w:r w:rsidRPr="007725E8">
        <w:lastRenderedPageBreak/>
        <w:t xml:space="preserve">umiejscowienia, autorstwa i kanału komunikacji, </w:t>
      </w:r>
      <w:r w:rsidR="00AF2B31">
        <w:t>na przykład</w:t>
      </w:r>
      <w:r w:rsidRPr="007725E8">
        <w:t xml:space="preserve"> „dyskurs nacjonalistyczny </w:t>
      </w:r>
      <w:proofErr w:type="spellStart"/>
      <w:r w:rsidRPr="007725E8">
        <w:t>dotyczącyimigracjiw</w:t>
      </w:r>
      <w:proofErr w:type="spellEnd"/>
      <w:r w:rsidRPr="007725E8">
        <w:t xml:space="preserve"> brytyjskiej prasie” lub „dyskurs środowiskowy Partii Konserwatywnej”.</w:t>
      </w:r>
    </w:p>
    <w:p w14:paraId="07F6C0A2" w14:textId="5EB3D1A7" w:rsidR="004341DC" w:rsidRDefault="0076071E" w:rsidP="0086691D">
      <w:pPr>
        <w:rPr>
          <w:lang w:val="pl-PL"/>
        </w:rPr>
      </w:pPr>
      <w:r w:rsidRPr="0076071E">
        <w:rPr>
          <w:noProof/>
          <w:lang w:val="pl-PL"/>
        </w:rPr>
        <w:drawing>
          <wp:inline distT="0" distB="0" distL="0" distR="0" wp14:anchorId="20AF9313" wp14:editId="0AAA1373">
            <wp:extent cx="5509737" cy="3284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9737" cy="3284505"/>
                    </a:xfrm>
                    <a:prstGeom prst="rect">
                      <a:avLst/>
                    </a:prstGeom>
                  </pic:spPr>
                </pic:pic>
              </a:graphicData>
            </a:graphic>
          </wp:inline>
        </w:drawing>
      </w:r>
      <w:r w:rsidR="00025C70">
        <w:rPr>
          <w:lang w:val="pl-PL"/>
        </w:rPr>
        <w:t xml:space="preserve"> </w:t>
      </w:r>
    </w:p>
    <w:p w14:paraId="337ED168" w14:textId="03EDD4F9" w:rsidR="00025C70" w:rsidRPr="00025C70" w:rsidRDefault="008A580D" w:rsidP="0086691D">
      <w:pPr>
        <w:rPr>
          <w:lang w:val="pl-PL"/>
        </w:rPr>
      </w:pPr>
      <w:r w:rsidRPr="008A580D">
        <w:rPr>
          <w:b/>
          <w:lang w:val="pl-PL"/>
        </w:rPr>
        <w:t>Rys. 1.</w:t>
      </w:r>
      <w:r>
        <w:rPr>
          <w:lang w:val="pl-PL"/>
        </w:rPr>
        <w:t xml:space="preserve"> Charakter</w:t>
      </w:r>
      <w:r w:rsidR="00025C70">
        <w:rPr>
          <w:lang w:val="pl-PL"/>
        </w:rPr>
        <w:t xml:space="preserve">ystyka terminu „dyskurs” w języku angielskim. </w:t>
      </w:r>
    </w:p>
    <w:p w14:paraId="7DDFFB0D" w14:textId="3A91E7A4" w:rsidR="00C34D92" w:rsidRPr="007725E8" w:rsidRDefault="00D25306" w:rsidP="0086691D">
      <w:bookmarkStart w:id="2" w:name="page4"/>
      <w:bookmarkEnd w:id="2"/>
      <w:r>
        <w:t>Przypominając</w:t>
      </w:r>
      <w:r w:rsidR="00861662" w:rsidRPr="007725E8">
        <w:t xml:space="preserve"> główne założenie KAD, </w:t>
      </w:r>
      <w:r>
        <w:t>z</w:t>
      </w:r>
      <w:r w:rsidR="00861662" w:rsidRPr="007725E8">
        <w:t xml:space="preserve">definiowany w ten sposób dyskurs oddziałuje ideologicznie w tym sensie, że jego uczestnicy korzystają ze środków językowych do kodowania kombinacji </w:t>
      </w:r>
      <w:r w:rsidR="003F1836">
        <w:t>przekonań</w:t>
      </w:r>
      <w:r w:rsidR="00861662" w:rsidRPr="007725E8">
        <w:t xml:space="preserve">, wartości, norm, celów i emocji – tj. reprezentacji </w:t>
      </w:r>
      <w:proofErr w:type="spellStart"/>
      <w:r w:rsidR="00861662" w:rsidRPr="007725E8">
        <w:t>socjokognitywnych</w:t>
      </w:r>
      <w:proofErr w:type="spellEnd"/>
      <w:r w:rsidR="00861662" w:rsidRPr="007725E8">
        <w:t xml:space="preserve"> – po to, aby zdobyć i/lub utrzymać władzę i wpływy. Mając na uwadze fakt, że KAD koncentruje się na działaniu społecznym w formie mediacji tekstowej, warto pamiętać</w:t>
      </w:r>
      <w:r w:rsidR="00FF490A" w:rsidRPr="007725E8">
        <w:t>,</w:t>
      </w:r>
      <w:r w:rsidR="00861662" w:rsidRPr="007725E8">
        <w:t xml:space="preserve"> że teksty i dyskursy mogą mieć konkretny i rzeczywisty wpływ przejawiający się </w:t>
      </w:r>
      <w:r w:rsidR="00684B83">
        <w:br/>
      </w:r>
      <w:r w:rsidR="00253117">
        <w:t>w postaci</w:t>
      </w:r>
      <w:r w:rsidR="00B26941" w:rsidRPr="007725E8">
        <w:t xml:space="preserve"> </w:t>
      </w:r>
      <w:r w:rsidR="00861662" w:rsidRPr="007725E8">
        <w:t>(nie)równ</w:t>
      </w:r>
      <w:r w:rsidR="00253117">
        <w:t>ej</w:t>
      </w:r>
      <w:r w:rsidR="00861662" w:rsidRPr="007725E8">
        <w:t xml:space="preserve"> dystrybucj</w:t>
      </w:r>
      <w:r w:rsidR="00253117">
        <w:t>i</w:t>
      </w:r>
      <w:r w:rsidR="00861662" w:rsidRPr="007725E8">
        <w:t xml:space="preserve"> bogactwa</w:t>
      </w:r>
      <w:r w:rsidR="00B26941">
        <w:t>,</w:t>
      </w:r>
      <w:r w:rsidR="00861662" w:rsidRPr="007725E8">
        <w:t xml:space="preserve"> stwarzanie i alokacj</w:t>
      </w:r>
      <w:r w:rsidR="00B26941">
        <w:t>a</w:t>
      </w:r>
      <w:r w:rsidR="00861662" w:rsidRPr="007725E8">
        <w:t xml:space="preserve"> konkretnych przestrzeni, </w:t>
      </w:r>
      <w:r w:rsidR="00684B83">
        <w:br/>
      </w:r>
      <w:r w:rsidR="00861662" w:rsidRPr="007725E8">
        <w:t>a nawet przemoc fizyczn</w:t>
      </w:r>
      <w:r w:rsidR="00B26941">
        <w:t>a</w:t>
      </w:r>
      <w:r w:rsidR="00861662" w:rsidRPr="007725E8">
        <w:t xml:space="preserve"> wobec obiektów i ludzi. W przypadku tekstu analizowanego </w:t>
      </w:r>
      <w:r w:rsidR="00684B83">
        <w:br/>
      </w:r>
      <w:r w:rsidR="00861662" w:rsidRPr="007725E8">
        <w:t xml:space="preserve">w niniejszym artykule, skupienie </w:t>
      </w:r>
      <w:r w:rsidR="00B26941">
        <w:t xml:space="preserve">się </w:t>
      </w:r>
      <w:r w:rsidR="00861662" w:rsidRPr="007725E8">
        <w:t xml:space="preserve">w kapitalizmie konsumpcyjnym na aspekcie materialnym często oznacza, że przekazywane w tekstach wartości i normy przekładane są na materialne </w:t>
      </w:r>
      <w:r w:rsidR="00757534">
        <w:t>wskaźniki</w:t>
      </w:r>
      <w:r w:rsidR="00861662" w:rsidRPr="007725E8">
        <w:t xml:space="preserve"> semiotyczne</w:t>
      </w:r>
      <w:r w:rsidR="007854BF">
        <w:t>,</w:t>
      </w:r>
      <w:r w:rsidR="00861662" w:rsidRPr="007725E8">
        <w:t xml:space="preserve"> takie jak ubiór czy fryzura.</w:t>
      </w:r>
      <w:r w:rsidR="00A968B7">
        <w:t xml:space="preserve"> </w:t>
      </w:r>
    </w:p>
    <w:p w14:paraId="11077A02" w14:textId="14614282" w:rsidR="00C34D92" w:rsidRPr="00684332" w:rsidRDefault="00861662" w:rsidP="0086691D">
      <w:pPr>
        <w:rPr>
          <w:sz w:val="20"/>
          <w:szCs w:val="20"/>
        </w:rPr>
      </w:pPr>
      <w:r w:rsidRPr="007725E8">
        <w:t xml:space="preserve">Opisane powyżej podstawy teoretyczne </w:t>
      </w:r>
      <w:r w:rsidRPr="007854BF">
        <w:t>łączą w sobie pojęcia</w:t>
      </w:r>
      <w:r w:rsidRPr="007725E8">
        <w:t xml:space="preserve"> stosowane w podejściu </w:t>
      </w:r>
      <w:proofErr w:type="spellStart"/>
      <w:r w:rsidRPr="007725E8">
        <w:t>socjokognitywnym</w:t>
      </w:r>
      <w:proofErr w:type="spellEnd"/>
      <w:r w:rsidRPr="007725E8">
        <w:t xml:space="preserve"> (</w:t>
      </w:r>
      <w:r w:rsidR="00EF0F8C">
        <w:t>por</w:t>
      </w:r>
      <w:r w:rsidRPr="007725E8">
        <w:t xml:space="preserve">. </w:t>
      </w:r>
      <w:proofErr w:type="spellStart"/>
      <w:r w:rsidRPr="007725E8">
        <w:t>Chilton</w:t>
      </w:r>
      <w:proofErr w:type="spellEnd"/>
      <w:r w:rsidRPr="007725E8">
        <w:t xml:space="preserve"> 2004; Hart i </w:t>
      </w:r>
      <w:proofErr w:type="spellStart"/>
      <w:r w:rsidRPr="007725E8">
        <w:t>Lukeš</w:t>
      </w:r>
      <w:proofErr w:type="spellEnd"/>
      <w:r w:rsidRPr="007725E8">
        <w:t xml:space="preserve"> 2007, </w:t>
      </w:r>
      <w:proofErr w:type="spellStart"/>
      <w:r w:rsidRPr="007725E8">
        <w:t>Koller</w:t>
      </w:r>
      <w:proofErr w:type="spellEnd"/>
      <w:r w:rsidRPr="007725E8">
        <w:t xml:space="preserve"> 2005; van </w:t>
      </w:r>
      <w:proofErr w:type="spellStart"/>
      <w:r w:rsidRPr="007725E8">
        <w:t>Dijk</w:t>
      </w:r>
      <w:proofErr w:type="spellEnd"/>
      <w:r w:rsidRPr="007725E8">
        <w:t xml:space="preserve"> 2003; 2009). Takie </w:t>
      </w:r>
      <w:r w:rsidR="001E6AE6">
        <w:t xml:space="preserve">pojęcie dyskursu </w:t>
      </w:r>
      <w:r w:rsidR="006E44BD">
        <w:t>skupia się na poszczególnych problemach</w:t>
      </w:r>
      <w:r w:rsidRPr="007725E8">
        <w:t xml:space="preserve">, począwszy od konkretnego zjawiska społecznego, </w:t>
      </w:r>
      <w:r w:rsidRPr="006E44BD">
        <w:t xml:space="preserve">które </w:t>
      </w:r>
      <w:r w:rsidRPr="009E3B53">
        <w:t xml:space="preserve">zostało </w:t>
      </w:r>
      <w:r w:rsidR="00167893" w:rsidRPr="009E3B53">
        <w:t>wykreowane</w:t>
      </w:r>
      <w:r w:rsidRPr="007725E8">
        <w:t xml:space="preserve"> a następnie wzmocnione, </w:t>
      </w:r>
      <w:r w:rsidR="00B26941">
        <w:t>wy</w:t>
      </w:r>
      <w:r w:rsidRPr="007725E8">
        <w:t xml:space="preserve">negocjowane </w:t>
      </w:r>
      <w:r w:rsidR="00684B83">
        <w:br/>
      </w:r>
      <w:r w:rsidRPr="007725E8">
        <w:t xml:space="preserve">i zakwestionowane poprzez dyskurs. </w:t>
      </w:r>
      <w:proofErr w:type="spellStart"/>
      <w:r w:rsidRPr="007725E8">
        <w:t>Socjokognitywny</w:t>
      </w:r>
      <w:proofErr w:type="spellEnd"/>
      <w:r w:rsidRPr="007725E8">
        <w:t xml:space="preserve"> wymiar badanego zjawiska zawiera się w jego konceptualizacji jako modelu mentalnego w dyskursie i poprzez dyskurs. Z krytycznego punktu widzenia </w:t>
      </w:r>
      <w:r w:rsidR="00980438">
        <w:t>takie zjawisko społeczne jest problematyczne, ponieważ</w:t>
      </w:r>
      <w:r w:rsidRPr="007725E8">
        <w:t xml:space="preserve"> wiąże się ono </w:t>
      </w:r>
      <w:r w:rsidR="00684B83">
        <w:br/>
      </w:r>
      <w:r w:rsidRPr="007725E8">
        <w:lastRenderedPageBreak/>
        <w:t xml:space="preserve">z nierównym podziałem władzy pomiędzy uczestnikami dyskursu, co prowadzi do marginalizacji, dyskryminacji </w:t>
      </w:r>
      <w:r w:rsidRPr="006E44BD">
        <w:t>i</w:t>
      </w:r>
      <w:r w:rsidRPr="007725E8">
        <w:t xml:space="preserve"> ostatecznie cierpienia. Analizowany tekst, choć nie jest </w:t>
      </w:r>
      <w:r w:rsidR="00167893">
        <w:t>jednoznacznie</w:t>
      </w:r>
      <w:r w:rsidRPr="007725E8">
        <w:t xml:space="preserve"> dyskryminujący, </w:t>
      </w:r>
      <w:r w:rsidR="00EF0F8C">
        <w:t>ukazuje</w:t>
      </w:r>
      <w:r w:rsidRPr="007725E8">
        <w:t xml:space="preserve"> typowy</w:t>
      </w:r>
      <w:r w:rsidR="00980438">
        <w:t>,</w:t>
      </w:r>
      <w:r w:rsidRPr="007725E8">
        <w:t xml:space="preserve"> acz wyraźny podział binarny,</w:t>
      </w:r>
      <w:r w:rsidR="0022167A">
        <w:t xml:space="preserve"> co można odczytać jako marginalizowanie </w:t>
      </w:r>
      <w:proofErr w:type="spellStart"/>
      <w:r w:rsidR="0022167A">
        <w:t>nieheteronormatywnych</w:t>
      </w:r>
      <w:proofErr w:type="spellEnd"/>
      <w:r w:rsidR="0022167A">
        <w:t xml:space="preserve"> typów tożsamości seksualnej</w:t>
      </w:r>
      <w:r w:rsidRPr="007725E8">
        <w:t xml:space="preserve">. Idąc dalej, aby ustalić zasadnicze modele mentalne takie jak </w:t>
      </w:r>
      <w:r w:rsidR="00980438">
        <w:t>tożsamość</w:t>
      </w:r>
      <w:r w:rsidR="00980438" w:rsidRPr="007725E8">
        <w:t xml:space="preserve"> </w:t>
      </w:r>
      <w:r w:rsidRPr="007725E8">
        <w:t>zbiorow</w:t>
      </w:r>
      <w:r w:rsidR="00980438">
        <w:t>a</w:t>
      </w:r>
      <w:r w:rsidRPr="007725E8">
        <w:t xml:space="preserve">, badacze skupiający się na </w:t>
      </w:r>
      <w:proofErr w:type="spellStart"/>
      <w:r w:rsidRPr="007725E8">
        <w:t>socjokognitywnych</w:t>
      </w:r>
      <w:proofErr w:type="spellEnd"/>
      <w:r w:rsidRPr="007725E8">
        <w:t xml:space="preserve"> aspektach tłumaczyli teksty w ich kontekstach </w:t>
      </w:r>
      <w:proofErr w:type="spellStart"/>
      <w:r w:rsidRPr="007725E8">
        <w:t>socjopolitycznych</w:t>
      </w:r>
      <w:proofErr w:type="spellEnd"/>
      <w:r w:rsidRPr="007725E8">
        <w:t>. Raz jeszcze</w:t>
      </w:r>
      <w:r w:rsidR="00980438">
        <w:t>,</w:t>
      </w:r>
      <w:r w:rsidRPr="007725E8">
        <w:t xml:space="preserve"> szczegółowa analiza tekstowa okazała się</w:t>
      </w:r>
      <w:r w:rsidR="00980438">
        <w:t xml:space="preserve"> </w:t>
      </w:r>
      <w:r w:rsidRPr="007725E8">
        <w:t>mieć kluczowe znaczenie i ujawniła</w:t>
      </w:r>
      <w:r w:rsidR="00980438">
        <w:t>,</w:t>
      </w:r>
      <w:r w:rsidRPr="007725E8">
        <w:t xml:space="preserve"> jakie narzędzia</w:t>
      </w:r>
      <w:r w:rsidR="007774D8" w:rsidRPr="007725E8">
        <w:t xml:space="preserve"> </w:t>
      </w:r>
      <w:r w:rsidRPr="007725E8">
        <w:t xml:space="preserve">wykorzystywane są do </w:t>
      </w:r>
      <w:r w:rsidR="006E44BD">
        <w:t>konstruowania</w:t>
      </w:r>
      <w:r w:rsidR="006E44BD" w:rsidRPr="007725E8">
        <w:t xml:space="preserve"> </w:t>
      </w:r>
      <w:r w:rsidRPr="007725E8">
        <w:t xml:space="preserve">modeli mentalnych, w tym reprezentacji </w:t>
      </w:r>
      <w:proofErr w:type="spellStart"/>
      <w:r w:rsidRPr="007725E8">
        <w:t>socjokognitywnych</w:t>
      </w:r>
      <w:proofErr w:type="spellEnd"/>
      <w:r w:rsidRPr="007725E8">
        <w:t>. Z krytycznego punktu widzenia powtarzająca się w podobnych warunkach ekspozycja odbiorców tekstu</w:t>
      </w:r>
      <w:bookmarkStart w:id="3" w:name="page5"/>
      <w:bookmarkEnd w:id="3"/>
      <w:r w:rsidR="007774D8" w:rsidRPr="005D2BAF">
        <w:rPr>
          <w:sz w:val="20"/>
          <w:szCs w:val="20"/>
        </w:rPr>
        <w:t xml:space="preserve"> </w:t>
      </w:r>
      <w:r w:rsidRPr="007725E8">
        <w:t xml:space="preserve">na reprezentacje </w:t>
      </w:r>
      <w:r w:rsidR="002A1933">
        <w:t>tekstowe</w:t>
      </w:r>
      <w:r w:rsidRPr="007725E8">
        <w:t xml:space="preserve"> może pomóc w zbliżeniu ich własnych reprezentacji do tych prezentowanych przez </w:t>
      </w:r>
      <w:r w:rsidR="006E44BD">
        <w:t>wy</w:t>
      </w:r>
      <w:r w:rsidRPr="007725E8">
        <w:t xml:space="preserve">twórcę tekstu i </w:t>
      </w:r>
      <w:r w:rsidR="006E44BD">
        <w:t>s</w:t>
      </w:r>
      <w:r w:rsidRPr="007725E8">
        <w:t xml:space="preserve">tworzyć przewagę dla </w:t>
      </w:r>
      <w:r w:rsidR="00904FF1">
        <w:t>grupy, do której należy</w:t>
      </w:r>
      <w:r w:rsidRPr="007725E8">
        <w:t xml:space="preserve">. </w:t>
      </w:r>
      <w:r w:rsidR="00232A7A">
        <w:t>Trzeba</w:t>
      </w:r>
      <w:r w:rsidRPr="007725E8">
        <w:t xml:space="preserve"> jednak zauważyć, że odbiorcy aktywnie współuczestniczą w tworzeniu </w:t>
      </w:r>
      <w:r w:rsidRPr="0037649D">
        <w:t xml:space="preserve">znaczenia </w:t>
      </w:r>
      <w:r w:rsidRPr="00FC3B8F">
        <w:t xml:space="preserve">tekstów </w:t>
      </w:r>
      <w:r w:rsidR="00980438" w:rsidRPr="00FC3B8F">
        <w:t>–</w:t>
      </w:r>
      <w:r w:rsidRPr="00791884">
        <w:t xml:space="preserve"> przyjmują lub zmieniają </w:t>
      </w:r>
      <w:r w:rsidR="00131B1A" w:rsidRPr="00F8765F">
        <w:t>wyobrażenia</w:t>
      </w:r>
      <w:r w:rsidRPr="00FC3B8F">
        <w:t>,</w:t>
      </w:r>
      <w:r w:rsidRPr="0037649D">
        <w:t xml:space="preserve"> z którymi są konfrontowani</w:t>
      </w:r>
      <w:r w:rsidR="00980438" w:rsidRPr="00FC3B8F">
        <w:t>,</w:t>
      </w:r>
      <w:r w:rsidRPr="00FC3B8F">
        <w:t xml:space="preserve"> zgodnie z własnymi</w:t>
      </w:r>
      <w:r w:rsidRPr="007725E8">
        <w:t xml:space="preserve"> doświadczeniami. Powoduje to, że nie można zapewnić powodzenia jakiejkolwiek próbie takiego zbliżenia reprezentacji prezentowanych przez autora tekstu do tych przyjmowanych przez jego odbiorców. Z tego względu analiza </w:t>
      </w:r>
      <w:proofErr w:type="spellStart"/>
      <w:r w:rsidRPr="007725E8">
        <w:t>socjokognitywna</w:t>
      </w:r>
      <w:proofErr w:type="spellEnd"/>
      <w:r w:rsidRPr="007725E8">
        <w:t xml:space="preserve"> będzie odnosić tekst do kontekstów</w:t>
      </w:r>
      <w:r w:rsidR="00863276">
        <w:t>,</w:t>
      </w:r>
      <w:r w:rsidRPr="007725E8">
        <w:t xml:space="preserve"> w jakich został </w:t>
      </w:r>
      <w:r w:rsidR="006E44BD" w:rsidRPr="007725E8">
        <w:t>wy</w:t>
      </w:r>
      <w:r w:rsidR="006E44BD">
        <w:t>tworzony</w:t>
      </w:r>
      <w:r w:rsidR="006E44BD" w:rsidRPr="007725E8">
        <w:t xml:space="preserve"> </w:t>
      </w:r>
      <w:r w:rsidRPr="007725E8">
        <w:t xml:space="preserve">i/lub w jakich jest przetwarzany. Podsumowując, podejście </w:t>
      </w:r>
      <w:proofErr w:type="spellStart"/>
      <w:r w:rsidRPr="007725E8">
        <w:t>socjokognitywne</w:t>
      </w:r>
      <w:proofErr w:type="spellEnd"/>
      <w:r w:rsidRPr="007725E8">
        <w:t xml:space="preserve"> jest niezbędne, gdy</w:t>
      </w:r>
      <w:r w:rsidR="00980438">
        <w:t xml:space="preserve"> bada się</w:t>
      </w:r>
      <w:r w:rsidRPr="007725E8">
        <w:t xml:space="preserve"> tożsamość zbiorow</w:t>
      </w:r>
      <w:r w:rsidR="00980438">
        <w:t>ą</w:t>
      </w:r>
      <w:r w:rsidRPr="007725E8">
        <w:t>, rozumian</w:t>
      </w:r>
      <w:r w:rsidR="00980438">
        <w:t>ą</w:t>
      </w:r>
      <w:r w:rsidRPr="007725E8">
        <w:t xml:space="preserve"> jako reprezentacj</w:t>
      </w:r>
      <w:r w:rsidR="00980438">
        <w:t>ę</w:t>
      </w:r>
      <w:r w:rsidRPr="007725E8">
        <w:t xml:space="preserve"> </w:t>
      </w:r>
      <w:proofErr w:type="spellStart"/>
      <w:r w:rsidRPr="007725E8">
        <w:t>socjokognitywn</w:t>
      </w:r>
      <w:r w:rsidR="00980438">
        <w:t>ą</w:t>
      </w:r>
      <w:proofErr w:type="spellEnd"/>
      <w:r w:rsidR="00980438">
        <w:t>.</w:t>
      </w:r>
    </w:p>
    <w:p w14:paraId="66E046BC" w14:textId="3D0AB1E4" w:rsidR="00C34D92" w:rsidRPr="005D2BAF" w:rsidRDefault="00861662" w:rsidP="0086691D">
      <w:pPr>
        <w:pStyle w:val="Nagwek1"/>
        <w:rPr>
          <w:sz w:val="20"/>
          <w:szCs w:val="20"/>
        </w:rPr>
      </w:pPr>
      <w:r w:rsidRPr="007725E8">
        <w:t xml:space="preserve">3. </w:t>
      </w:r>
      <w:r w:rsidR="003A7E0C">
        <w:t>Parametry</w:t>
      </w:r>
      <w:r w:rsidR="003A7E0C" w:rsidRPr="007725E8">
        <w:t xml:space="preserve"> </w:t>
      </w:r>
      <w:r w:rsidR="003A7E0C">
        <w:t>analizy</w:t>
      </w:r>
    </w:p>
    <w:p w14:paraId="295C326F" w14:textId="7F40372C" w:rsidR="00C34D92" w:rsidRDefault="00861662" w:rsidP="00994B0A">
      <w:pPr>
        <w:ind w:firstLine="0"/>
      </w:pPr>
      <w:r w:rsidRPr="007725E8">
        <w:t xml:space="preserve">Krytyczna analiza tożsamości zbiorowej w dyskursie będzie opisywać cechy językowe </w:t>
      </w:r>
      <w:r w:rsidR="00DB3498">
        <w:br/>
      </w:r>
      <w:r w:rsidRPr="007725E8">
        <w:t xml:space="preserve">i interpretować je przez pryzmat analizy praktyk dyskursu i kontekstów społecznych. Na tym etapie interpretacji najbardziej istotne są pojęcia </w:t>
      </w:r>
      <w:proofErr w:type="spellStart"/>
      <w:r w:rsidRPr="007725E8">
        <w:t>socjokognitywne</w:t>
      </w:r>
      <w:proofErr w:type="spellEnd"/>
      <w:r w:rsidRPr="007725E8">
        <w:t xml:space="preserve">, jako że reprezentacja </w:t>
      </w:r>
      <w:proofErr w:type="spellStart"/>
      <w:r w:rsidRPr="007725E8">
        <w:t>socjokognitywna</w:t>
      </w:r>
      <w:proofErr w:type="spellEnd"/>
      <w:r w:rsidRPr="007725E8">
        <w:t xml:space="preserve"> i inne modele mentalne nie mog</w:t>
      </w:r>
      <w:r w:rsidR="00980438">
        <w:t>ą</w:t>
      </w:r>
      <w:r w:rsidRPr="007725E8">
        <w:t xml:space="preserve"> być po prostu </w:t>
      </w:r>
      <w:r w:rsidR="006E44BD">
        <w:t>„</w:t>
      </w:r>
      <w:r w:rsidRPr="007725E8">
        <w:t>wyczytane</w:t>
      </w:r>
      <w:r w:rsidR="006E44BD">
        <w:t>”</w:t>
      </w:r>
      <w:r w:rsidRPr="007725E8">
        <w:t xml:space="preserve"> z tekstów, ale muszą zostać wywnioskowane na podstawie </w:t>
      </w:r>
      <w:r w:rsidR="00980438">
        <w:t>cech</w:t>
      </w:r>
      <w:r w:rsidR="00980438" w:rsidRPr="007725E8">
        <w:t xml:space="preserve"> </w:t>
      </w:r>
      <w:r w:rsidRPr="007725E8">
        <w:t xml:space="preserve">językowych. Te trzy powiązane ze sobą poziomy dyskursu i zawarte w nich ogólne pytania badawcze przedstawiono na rys. </w:t>
      </w:r>
      <w:r w:rsidR="001E6AE6">
        <w:t>2</w:t>
      </w:r>
      <w:r w:rsidR="001E6AE6" w:rsidRPr="007725E8">
        <w:t xml:space="preserve"> </w:t>
      </w:r>
      <w:r w:rsidRPr="007725E8">
        <w:t xml:space="preserve">(por. </w:t>
      </w:r>
      <w:proofErr w:type="spellStart"/>
      <w:r w:rsidRPr="007725E8">
        <w:t>Fairclough</w:t>
      </w:r>
      <w:proofErr w:type="spellEnd"/>
      <w:r w:rsidRPr="007725E8">
        <w:t xml:space="preserve"> 2010: 133).</w:t>
      </w:r>
    </w:p>
    <w:p w14:paraId="5D91950F" w14:textId="6E30280E" w:rsidR="004268B8" w:rsidRDefault="004268B8" w:rsidP="00994B0A">
      <w:pPr>
        <w:ind w:firstLine="0"/>
      </w:pPr>
    </w:p>
    <w:p w14:paraId="18AF059F" w14:textId="2A70B62E" w:rsidR="008F19B9" w:rsidRDefault="008F19B9" w:rsidP="00F66EC0">
      <w:pPr>
        <w:jc w:val="left"/>
      </w:pPr>
      <w:r>
        <w:rPr>
          <w:noProof/>
          <w:lang w:val="pl-PL"/>
        </w:rPr>
        <w:lastRenderedPageBreak/>
        <w:drawing>
          <wp:inline distT="0" distB="0" distL="0" distR="0" wp14:anchorId="274FE6FB" wp14:editId="41F33623">
            <wp:extent cx="4937760" cy="3657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3657600"/>
                    </a:xfrm>
                    <a:prstGeom prst="rect">
                      <a:avLst/>
                    </a:prstGeom>
                    <a:noFill/>
                    <a:ln>
                      <a:noFill/>
                    </a:ln>
                  </pic:spPr>
                </pic:pic>
              </a:graphicData>
            </a:graphic>
          </wp:inline>
        </w:drawing>
      </w:r>
    </w:p>
    <w:p w14:paraId="06990734" w14:textId="77777777" w:rsidR="00F66EC0" w:rsidRPr="005D2BAF" w:rsidRDefault="00F66EC0" w:rsidP="00F66EC0">
      <w:r w:rsidRPr="00396591">
        <w:rPr>
          <w:b/>
          <w:bCs/>
        </w:rPr>
        <w:t xml:space="preserve">Rys. </w:t>
      </w:r>
      <w:r>
        <w:rPr>
          <w:b/>
          <w:bCs/>
        </w:rPr>
        <w:t>2</w:t>
      </w:r>
      <w:r w:rsidRPr="00396591">
        <w:t xml:space="preserve"> Poziomy analizowania tożsamości zbiorowej w dyskursie</w:t>
      </w:r>
    </w:p>
    <w:p w14:paraId="772BBCE1" w14:textId="77777777" w:rsidR="00F66EC0" w:rsidRDefault="00F66EC0" w:rsidP="00994B0A">
      <w:pPr>
        <w:ind w:firstLine="0"/>
      </w:pPr>
    </w:p>
    <w:p w14:paraId="28E99FB2" w14:textId="0A3D60BD" w:rsidR="00C34D92" w:rsidRPr="007725E8" w:rsidRDefault="00756E4E" w:rsidP="0086691D">
      <w:r>
        <w:t xml:space="preserve">Przy podejmowaniu tematyki tożsamości zbiorowej w dyskursie, zaczynając od poziomu mikro pojedynczych tekstów, pomocne mogą się okazać </w:t>
      </w:r>
      <w:r w:rsidR="00131B1A">
        <w:t>określone</w:t>
      </w:r>
      <w:r>
        <w:t xml:space="preserve"> czynniki.</w:t>
      </w:r>
      <w:r w:rsidR="00861662" w:rsidRPr="007725E8">
        <w:t xml:space="preserve"> Należy jednak być świadomym faktu, że nie </w:t>
      </w:r>
      <w:r>
        <w:t>istnieje ich jednolita i definitywna lista,</w:t>
      </w:r>
      <w:r w:rsidR="00861662" w:rsidRPr="007725E8">
        <w:t xml:space="preserve"> </w:t>
      </w:r>
      <w:r>
        <w:t>a</w:t>
      </w:r>
      <w:r w:rsidR="00861662" w:rsidRPr="007725E8">
        <w:t xml:space="preserve"> choć zalecane jest spójne używanie kategorii analitycznych </w:t>
      </w:r>
      <w:r w:rsidR="007B3024">
        <w:t xml:space="preserve">w </w:t>
      </w:r>
      <w:r w:rsidR="007B3024" w:rsidRPr="00756E4E">
        <w:t xml:space="preserve">odniesieniu </w:t>
      </w:r>
      <w:r w:rsidR="00861662" w:rsidRPr="00342A74">
        <w:t>do</w:t>
      </w:r>
      <w:r w:rsidRPr="00342A74">
        <w:t xml:space="preserve"> wszystkich badanych</w:t>
      </w:r>
      <w:r w:rsidR="00861662" w:rsidRPr="00342A74">
        <w:t xml:space="preserve"> tekstów</w:t>
      </w:r>
      <w:r w:rsidR="00861662" w:rsidRPr="007725E8">
        <w:t>, to poszczególne przypadki użycia języka będą wykazywać</w:t>
      </w:r>
      <w:r w:rsidR="003A7E0C">
        <w:t xml:space="preserve"> </w:t>
      </w:r>
      <w:r w:rsidR="00861662" w:rsidRPr="007725E8">
        <w:t>różne cechy w zależności od tego</w:t>
      </w:r>
      <w:r w:rsidR="003A7E0C">
        <w:t>,</w:t>
      </w:r>
      <w:r w:rsidR="00861662" w:rsidRPr="007725E8">
        <w:t xml:space="preserve"> </w:t>
      </w:r>
      <w:r w:rsidR="003A7E0C">
        <w:t xml:space="preserve">jaki stanowią </w:t>
      </w:r>
      <w:r w:rsidR="00AF566B">
        <w:t>gatunek</w:t>
      </w:r>
      <w:r w:rsidR="00994B0A">
        <w:t>,</w:t>
      </w:r>
      <w:r w:rsidR="00861662" w:rsidRPr="007725E8">
        <w:t xml:space="preserve"> do jakiej grupy odbiorców są one skierowane i jakie dyskursy tworzą. Dlatego też </w:t>
      </w:r>
      <w:r w:rsidR="007A4E5F">
        <w:t>zakres branych pod uwagę</w:t>
      </w:r>
      <w:r w:rsidR="00861662" w:rsidRPr="007725E8">
        <w:t xml:space="preserve"> czynników językowych powin</w:t>
      </w:r>
      <w:r w:rsidR="007A4E5F">
        <w:t>ien</w:t>
      </w:r>
      <w:r w:rsidR="00861662" w:rsidRPr="007725E8">
        <w:t xml:space="preserve"> być </w:t>
      </w:r>
      <w:r w:rsidR="007A4E5F">
        <w:t>definiowany</w:t>
      </w:r>
      <w:r w:rsidR="007A4E5F" w:rsidRPr="007725E8">
        <w:t xml:space="preserve"> </w:t>
      </w:r>
      <w:r w:rsidR="00861662" w:rsidRPr="007725E8">
        <w:t>na tyle elastycznie, by pomieścić kategorie, które są szczególnie ważne w analizie danego tekstu</w:t>
      </w:r>
      <w:r w:rsidR="00994B0A">
        <w:t>,</w:t>
      </w:r>
      <w:r w:rsidR="00861662" w:rsidRPr="007725E8">
        <w:t xml:space="preserve"> i odrzucić te, które </w:t>
      </w:r>
      <w:r w:rsidR="00994B0A">
        <w:t>takie nie są</w:t>
      </w:r>
      <w:r w:rsidR="00861662" w:rsidRPr="007725E8">
        <w:t xml:space="preserve">. </w:t>
      </w:r>
      <w:r w:rsidR="003A7E0C">
        <w:t>Ze względu na</w:t>
      </w:r>
      <w:r w:rsidR="00861662" w:rsidRPr="007725E8">
        <w:t xml:space="preserve"> powyższe zastrzeżenia</w:t>
      </w:r>
      <w:r w:rsidR="003A7E0C">
        <w:t>, w analizie tożsamości zbiorowej w dyskursie mogą okazać się przydatne cechy następujących kategorii</w:t>
      </w:r>
      <w:r w:rsidR="00384E93">
        <w:rPr>
          <w:rStyle w:val="Odwoanieprzypisudolnego"/>
          <w:rFonts w:eastAsia="Georgia"/>
          <w:szCs w:val="24"/>
        </w:rPr>
        <w:footnoteReference w:id="6"/>
      </w:r>
      <w:r w:rsidR="00861662" w:rsidRPr="007725E8">
        <w:t>:</w:t>
      </w:r>
    </w:p>
    <w:p w14:paraId="19AF909C" w14:textId="1CBE1A23" w:rsidR="006E44BD" w:rsidRPr="007725E8" w:rsidRDefault="00861662" w:rsidP="0086691D">
      <w:r w:rsidRPr="007725E8">
        <w:rPr>
          <w:b/>
          <w:bCs/>
        </w:rPr>
        <w:t>Reprezentacja aktorów społecznych</w:t>
      </w:r>
      <w:r w:rsidRPr="007725E8">
        <w:t xml:space="preserve"> (zob. van </w:t>
      </w:r>
      <w:proofErr w:type="spellStart"/>
      <w:r w:rsidRPr="007725E8">
        <w:t>Leeuwen</w:t>
      </w:r>
      <w:proofErr w:type="spellEnd"/>
      <w:r w:rsidRPr="007725E8">
        <w:t xml:space="preserve"> 1996): ta cecha łączy w sobie treść i analizę językową na poziomie tekstu</w:t>
      </w:r>
      <w:r w:rsidR="007D19F6">
        <w:t>.</w:t>
      </w:r>
      <w:r w:rsidRPr="007725E8">
        <w:t xml:space="preserve"> </w:t>
      </w:r>
      <w:r w:rsidR="007D19F6">
        <w:t>Rodzą się przy tym pytania</w:t>
      </w:r>
      <w:r w:rsidRPr="007725E8">
        <w:t xml:space="preserve"> takie jak: do jakich grup i jednostek odnosi się tekst </w:t>
      </w:r>
      <w:r w:rsidR="007A4E5F">
        <w:t>oraz</w:t>
      </w:r>
      <w:r w:rsidRPr="007725E8">
        <w:t xml:space="preserve"> </w:t>
      </w:r>
      <w:r w:rsidR="00AF566B">
        <w:t>w jaki sposób są</w:t>
      </w:r>
      <w:r w:rsidR="007A4E5F">
        <w:t xml:space="preserve"> one</w:t>
      </w:r>
      <w:r w:rsidR="00AF566B">
        <w:t xml:space="preserve"> opisywane</w:t>
      </w:r>
      <w:r w:rsidRPr="007725E8">
        <w:t xml:space="preserve">? Czy aktorzy społeczni </w:t>
      </w:r>
      <w:r w:rsidRPr="007725E8">
        <w:lastRenderedPageBreak/>
        <w:t>zostali włączeni czy są</w:t>
      </w:r>
      <w:r w:rsidR="00F136E5">
        <w:t xml:space="preserve"> z niego</w:t>
      </w:r>
      <w:r w:rsidRPr="007725E8">
        <w:t xml:space="preserve"> wykluczeni,</w:t>
      </w:r>
      <w:r w:rsidR="00994B0A">
        <w:t xml:space="preserve"> </w:t>
      </w:r>
      <w:r w:rsidR="00785612">
        <w:t>czy przedstawia się ich w sposób uogólniony</w:t>
      </w:r>
      <w:r w:rsidRPr="007725E8">
        <w:t xml:space="preserve"> czy </w:t>
      </w:r>
      <w:r w:rsidR="0005168C">
        <w:t>szczegółowy</w:t>
      </w:r>
      <w:r w:rsidRPr="007725E8">
        <w:t xml:space="preserve">, czy </w:t>
      </w:r>
      <w:r w:rsidR="0005168C">
        <w:t>pełnią</w:t>
      </w:r>
      <w:r w:rsidRPr="007725E8">
        <w:t xml:space="preserve"> rolę aktywną czy pasywną? W rozumieniu </w:t>
      </w:r>
      <w:proofErr w:type="spellStart"/>
      <w:r w:rsidRPr="007725E8">
        <w:t>socjokognitywnym</w:t>
      </w:r>
      <w:proofErr w:type="spellEnd"/>
      <w:r w:rsidRPr="007725E8">
        <w:t xml:space="preserve"> </w:t>
      </w:r>
      <w:r w:rsidR="006E44BD">
        <w:t>wy</w:t>
      </w:r>
      <w:r w:rsidRPr="007725E8">
        <w:t xml:space="preserve">twórcy tekstu przekazują określone reprezentacje </w:t>
      </w:r>
      <w:proofErr w:type="spellStart"/>
      <w:r w:rsidRPr="007725E8">
        <w:t>socjokognitywne</w:t>
      </w:r>
      <w:proofErr w:type="spellEnd"/>
      <w:r w:rsidRPr="007725E8">
        <w:t xml:space="preserve"> grup aktorów społecznych, w tym </w:t>
      </w:r>
      <w:r w:rsidR="004E1B99">
        <w:t>przekonani</w:t>
      </w:r>
      <w:r w:rsidR="007A4E5F">
        <w:t>a</w:t>
      </w:r>
      <w:r w:rsidRPr="007725E8">
        <w:t xml:space="preserve"> i/lub wiedzę o nich, stosunek do nich i oczekiwania wobec tych grup, które wynikają z </w:t>
      </w:r>
      <w:r w:rsidR="004E1B99">
        <w:t>przekonań</w:t>
      </w:r>
      <w:r w:rsidR="007A4E5F">
        <w:t xml:space="preserve"> </w:t>
      </w:r>
      <w:r w:rsidRPr="007725E8">
        <w:t>i/lub wiedzy</w:t>
      </w:r>
      <w:r w:rsidR="00994B0A">
        <w:t>,</w:t>
      </w:r>
      <w:r w:rsidRPr="007725E8">
        <w:t xml:space="preserve"> oraz emocje, które potęgują te elementy składowe. Omawiany czynnik będzie miał prawdopodobnie ogromne znaczenie w każdym badaniu tożsamości zbiorow</w:t>
      </w:r>
      <w:r w:rsidR="00E72A93">
        <w:t>ej</w:t>
      </w:r>
      <w:r w:rsidRPr="007725E8">
        <w:t xml:space="preserve">, do tego stopnia, że kolejne czynniki mogą być postrzegane jako </w:t>
      </w:r>
      <w:r w:rsidR="007A4E5F">
        <w:t>dowody potwierdzające jego prawdziwość</w:t>
      </w:r>
      <w:r w:rsidR="00311DB9" w:rsidRPr="00756E4E">
        <w:t>.</w:t>
      </w:r>
    </w:p>
    <w:p w14:paraId="415B73F1" w14:textId="75CB32EC" w:rsidR="00C34D92" w:rsidRPr="00684332" w:rsidRDefault="00861662" w:rsidP="0086691D">
      <w:pPr>
        <w:rPr>
          <w:sz w:val="20"/>
          <w:szCs w:val="20"/>
        </w:rPr>
      </w:pPr>
      <w:bookmarkStart w:id="4" w:name="page6"/>
      <w:bookmarkEnd w:id="4"/>
      <w:r w:rsidRPr="007725E8">
        <w:rPr>
          <w:b/>
          <w:bCs/>
        </w:rPr>
        <w:t>Procesy</w:t>
      </w:r>
      <w:r w:rsidRPr="007725E8">
        <w:t xml:space="preserve">: jakie typy procesów są przypisane aktorom społecznym? W odpowiedzi na to pytanie </w:t>
      </w:r>
      <w:r w:rsidR="00E5014D">
        <w:t xml:space="preserve">dokonano podczas analizy typów </w:t>
      </w:r>
      <w:r w:rsidRPr="007725E8">
        <w:t xml:space="preserve">dalszego rozróżnienia badanego modelu tożsamości zbiorowej poprzez powiązanie grupy z konkretnymi działaniami. Procesy wraz z reprezentacją aktorów społecznych ułatwiają badanie wzorców </w:t>
      </w:r>
      <w:r w:rsidR="0060012C">
        <w:t>tranzytywności</w:t>
      </w:r>
      <w:r w:rsidR="0060012C" w:rsidRPr="007725E8">
        <w:t xml:space="preserve"> </w:t>
      </w:r>
      <w:r w:rsidRPr="007725E8">
        <w:t>w tekstach. W systemowo-funkcjonalnych podstawach teoretycznych (</w:t>
      </w:r>
      <w:proofErr w:type="spellStart"/>
      <w:r w:rsidRPr="007725E8">
        <w:t>Halliday</w:t>
      </w:r>
      <w:proofErr w:type="spellEnd"/>
      <w:r w:rsidRPr="007725E8">
        <w:t xml:space="preserve"> </w:t>
      </w:r>
      <w:r w:rsidR="00E5014D">
        <w:t>i</w:t>
      </w:r>
      <w:r w:rsidR="00E5014D" w:rsidRPr="007725E8">
        <w:t xml:space="preserve"> </w:t>
      </w:r>
      <w:proofErr w:type="spellStart"/>
      <w:r w:rsidRPr="007725E8">
        <w:t>Matthiessen</w:t>
      </w:r>
      <w:proofErr w:type="spellEnd"/>
      <w:r w:rsidRPr="007725E8">
        <w:t xml:space="preserve"> 2004: 168</w:t>
      </w:r>
      <w:r w:rsidR="00E5014D">
        <w:t>–</w:t>
      </w:r>
      <w:r w:rsidRPr="007725E8">
        <w:t>259; Thompson 2004: 88</w:t>
      </w:r>
      <w:r w:rsidR="00E5014D">
        <w:t>–</w:t>
      </w:r>
      <w:r w:rsidRPr="007725E8">
        <w:t xml:space="preserve">105) oznacza to </w:t>
      </w:r>
      <w:r w:rsidR="00E5014D">
        <w:t>badanie,</w:t>
      </w:r>
      <w:r w:rsidRPr="007725E8">
        <w:t xml:space="preserve"> jak określone dziedziny doświadczenia</w:t>
      </w:r>
      <w:r w:rsidR="00E5014D">
        <w:t>,</w:t>
      </w:r>
      <w:r w:rsidRPr="007725E8">
        <w:t xml:space="preserve"> podzielone na procesy, uczestników i okoliczności</w:t>
      </w:r>
      <w:r w:rsidR="00E5014D">
        <w:t>,</w:t>
      </w:r>
      <w:r w:rsidRPr="007725E8">
        <w:t xml:space="preserve"> są konstruowane w dyskursie. Czynnik ten opiera się nie tylko na stosunkach, oczekiwaniach</w:t>
      </w:r>
      <w:r w:rsidR="00E5014D">
        <w:t xml:space="preserve"> i</w:t>
      </w:r>
      <w:r w:rsidRPr="007725E8">
        <w:t xml:space="preserve"> emocjach aktorów społecznych, </w:t>
      </w:r>
      <w:r w:rsidR="006447A7">
        <w:t>którym</w:t>
      </w:r>
      <w:r w:rsidRPr="007725E8">
        <w:t xml:space="preserve"> przypisywane są działania, ale w szczególności na wiedzy o procesach</w:t>
      </w:r>
      <w:r w:rsidR="00E5014D">
        <w:t>,</w:t>
      </w:r>
      <w:r w:rsidRPr="007725E8">
        <w:t xml:space="preserve"> tj. na skryptach.</w:t>
      </w:r>
    </w:p>
    <w:p w14:paraId="73E2EF31" w14:textId="12881E88" w:rsidR="00C34D92" w:rsidRPr="00684332" w:rsidRDefault="00861662" w:rsidP="0086691D">
      <w:pPr>
        <w:rPr>
          <w:sz w:val="20"/>
          <w:szCs w:val="20"/>
        </w:rPr>
      </w:pPr>
      <w:r w:rsidRPr="007725E8">
        <w:rPr>
          <w:b/>
          <w:bCs/>
        </w:rPr>
        <w:t>Ewaluacja</w:t>
      </w:r>
      <w:r w:rsidRPr="007725E8">
        <w:t>: Jakie właściwości są powiązane z grupami i jednostkami</w:t>
      </w:r>
      <w:r w:rsidR="00E5014D">
        <w:t>,</w:t>
      </w:r>
      <w:r w:rsidRPr="007725E8">
        <w:t xml:space="preserve"> jak są one oceniane? To pytanie zwraca uwagę na komponent norm i wartości określonych reprezentacji </w:t>
      </w:r>
      <w:proofErr w:type="spellStart"/>
      <w:r w:rsidRPr="007725E8">
        <w:t>socjokognitywnych</w:t>
      </w:r>
      <w:proofErr w:type="spellEnd"/>
      <w:r w:rsidRPr="007725E8">
        <w:t xml:space="preserve"> aktorów społecznych oraz na powiązane z tym emocje. Odpowiedź na nie pozwala jednocześnie na uznanie</w:t>
      </w:r>
      <w:r w:rsidR="00CA174C">
        <w:t xml:space="preserve"> za przesłanki</w:t>
      </w:r>
      <w:r w:rsidRPr="007725E8">
        <w:t xml:space="preserve"> w procesie </w:t>
      </w:r>
      <w:r w:rsidR="00CA174C">
        <w:t>wnioskowania</w:t>
      </w:r>
      <w:r w:rsidR="00CA174C" w:rsidRPr="007725E8">
        <w:t xml:space="preserve"> </w:t>
      </w:r>
      <w:r w:rsidRPr="007725E8">
        <w:t xml:space="preserve">stereotypów i typów idealnych dotyczących reprezentowanych aktorów społecznych. Ewaluacja może być zaklasyfikowana zarówno jako negatywna i pozytywna, implicytna i eksplicytna. Kategoryzacja języka </w:t>
      </w:r>
      <w:r w:rsidR="00F136E5">
        <w:t>wartościującego</w:t>
      </w:r>
      <w:r w:rsidRPr="007725E8">
        <w:t xml:space="preserve"> sprawia jednak szereg problemów. Na przykład następujący fragment przemowy byłego premiera Wielkiej Brytanii </w:t>
      </w:r>
      <w:proofErr w:type="spellStart"/>
      <w:r w:rsidRPr="007725E8">
        <w:t>Tony</w:t>
      </w:r>
      <w:r w:rsidR="00CA174C">
        <w:t>’</w:t>
      </w:r>
      <w:r w:rsidRPr="007725E8">
        <w:t>ego</w:t>
      </w:r>
      <w:proofErr w:type="spellEnd"/>
      <w:r w:rsidRPr="007725E8">
        <w:t xml:space="preserve"> Blaira</w:t>
      </w:r>
      <w:r w:rsidR="00F02286">
        <w:rPr>
          <w:rStyle w:val="Odwoanieprzypisudolnego"/>
        </w:rPr>
        <w:footnoteReference w:id="7"/>
      </w:r>
      <w:r w:rsidRPr="007725E8">
        <w:t xml:space="preserve">: </w:t>
      </w:r>
      <w:r w:rsidR="00CA174C">
        <w:t>„</w:t>
      </w:r>
      <w:r w:rsidRPr="007725E8">
        <w:t>świat muzułmański zmierza w kierunku większej stabilności demokracji, wolności i</w:t>
      </w:r>
      <w:r w:rsidR="00F136E5">
        <w:t xml:space="preserve"> respektowania</w:t>
      </w:r>
      <w:r w:rsidRPr="007725E8">
        <w:t xml:space="preserve"> praw człowieka</w:t>
      </w:r>
      <w:r w:rsidR="00CA174C">
        <w:t>”</w:t>
      </w:r>
      <w:r w:rsidRPr="007725E8">
        <w:t xml:space="preserve"> może zostać zaklasyfikowany jako </w:t>
      </w:r>
      <w:r w:rsidR="007A4E5F">
        <w:t>jednoznacznie</w:t>
      </w:r>
      <w:r w:rsidR="007A4E5F" w:rsidRPr="007725E8">
        <w:t xml:space="preserve"> </w:t>
      </w:r>
      <w:r w:rsidRPr="007725E8">
        <w:t>pozytywny, biorąc pod uwagę nacisk</w:t>
      </w:r>
      <w:r w:rsidR="00F17ACD">
        <w:t>,</w:t>
      </w:r>
      <w:r w:rsidRPr="007725E8">
        <w:t xml:space="preserve"> jaki autor wypowiedzi kładzie na demokrację itp. Z drugiej strony jednak stwierdzenie, że </w:t>
      </w:r>
      <w:r w:rsidR="00CA174C">
        <w:t>„</w:t>
      </w:r>
      <w:r w:rsidRPr="007725E8">
        <w:t>świat muzułmański zmierza w kierunku</w:t>
      </w:r>
      <w:r w:rsidR="00CA174C">
        <w:t>”</w:t>
      </w:r>
      <w:r w:rsidRPr="007725E8">
        <w:t xml:space="preserve"> tych wartości implikuje, że nie zostały one jeszcze osiągnięte, dlatego też może ono zostać</w:t>
      </w:r>
      <w:r w:rsidR="004B00C9">
        <w:t xml:space="preserve"> </w:t>
      </w:r>
      <w:r w:rsidRPr="007725E8">
        <w:t xml:space="preserve">odczytane jako </w:t>
      </w:r>
      <w:bookmarkStart w:id="5" w:name="page7"/>
      <w:bookmarkEnd w:id="5"/>
      <w:r w:rsidR="007A4E5F">
        <w:t xml:space="preserve">bezsprzecznie </w:t>
      </w:r>
      <w:r w:rsidRPr="007725E8">
        <w:lastRenderedPageBreak/>
        <w:t>negatywna ewaluacja. Pomocne w takim wypadku mo</w:t>
      </w:r>
      <w:r w:rsidR="007A4E5F">
        <w:t>że</w:t>
      </w:r>
      <w:r w:rsidRPr="007725E8">
        <w:t xml:space="preserve"> być bardziej szczegółowe</w:t>
      </w:r>
      <w:r w:rsidR="007A4E5F">
        <w:t xml:space="preserve"> odwołanie się do</w:t>
      </w:r>
      <w:r w:rsidRPr="007725E8">
        <w:t xml:space="preserve"> podstaw teoretyczn</w:t>
      </w:r>
      <w:r w:rsidR="007A4E5F">
        <w:t>ych</w:t>
      </w:r>
      <w:r w:rsidRPr="007725E8">
        <w:t>, taki</w:t>
      </w:r>
      <w:r w:rsidR="007A4E5F">
        <w:t>ch</w:t>
      </w:r>
      <w:r w:rsidRPr="007725E8">
        <w:t xml:space="preserve"> jak teoria wartościowania (Martin and White 2007).</w:t>
      </w:r>
    </w:p>
    <w:p w14:paraId="63FF1DAA" w14:textId="1760C279" w:rsidR="00C34D92" w:rsidRPr="005D2BAF" w:rsidRDefault="00861662" w:rsidP="0086691D">
      <w:pPr>
        <w:rPr>
          <w:sz w:val="20"/>
          <w:szCs w:val="20"/>
        </w:rPr>
      </w:pPr>
      <w:r w:rsidRPr="007725E8">
        <w:rPr>
          <w:b/>
          <w:bCs/>
        </w:rPr>
        <w:t>Modalność</w:t>
      </w:r>
      <w:r w:rsidRPr="007725E8">
        <w:t xml:space="preserve">: </w:t>
      </w:r>
      <w:r w:rsidR="00250148" w:rsidRPr="00250148">
        <w:t>Jak autor postrzega</w:t>
      </w:r>
      <w:r w:rsidR="00046908">
        <w:t xml:space="preserve"> w danej chwili określoną</w:t>
      </w:r>
      <w:r w:rsidR="00250148" w:rsidRPr="00250148">
        <w:t xml:space="preserve"> daną grupę w kontekście przeszłości, teraźniejszości i przyszłości? </w:t>
      </w:r>
      <w:r w:rsidRPr="007725E8">
        <w:t>Jakie są możliwe ścieżki</w:t>
      </w:r>
      <w:r w:rsidR="00046908">
        <w:t xml:space="preserve"> jej</w:t>
      </w:r>
      <w:r w:rsidRPr="007725E8">
        <w:t xml:space="preserve"> rozwoju (modalność </w:t>
      </w:r>
      <w:proofErr w:type="spellStart"/>
      <w:r w:rsidRPr="007725E8">
        <w:t>epistemiczna</w:t>
      </w:r>
      <w:proofErr w:type="spellEnd"/>
      <w:r w:rsidRPr="007725E8">
        <w:t xml:space="preserve">)? Jak autor chciałby, żeby te ścieżki wyglądały (modalność deontyczna)? Podobna analiza prawdopodobieństwa i celowości pomaga </w:t>
      </w:r>
      <w:r w:rsidR="006E44BD">
        <w:t>wy</w:t>
      </w:r>
      <w:r w:rsidRPr="007725E8">
        <w:t xml:space="preserve">twórcom tekstów zakomunikować </w:t>
      </w:r>
      <w:r w:rsidRPr="007A4E5F">
        <w:t xml:space="preserve">ich </w:t>
      </w:r>
      <w:r w:rsidR="006447A7" w:rsidRPr="00342A74">
        <w:t>przekonania</w:t>
      </w:r>
      <w:r w:rsidRPr="007A4E5F">
        <w:t xml:space="preserve"> dotyczące</w:t>
      </w:r>
      <w:r w:rsidRPr="007725E8">
        <w:t xml:space="preserve"> grupy aktorów społecznych i zdefiniować </w:t>
      </w:r>
      <w:r w:rsidR="006447A7">
        <w:t xml:space="preserve">ich </w:t>
      </w:r>
      <w:r w:rsidRPr="007725E8">
        <w:t>cele. Jako że cele są motywowane wyznawanymi wartościami – aktorzy społeczni próbują osiągnąć to</w:t>
      </w:r>
      <w:r w:rsidR="00F17ACD">
        <w:t>,</w:t>
      </w:r>
      <w:r w:rsidRPr="007725E8">
        <w:t xml:space="preserve"> co uważają za dobre i/lub ważne, stąd też pożądane – analiza modalności jest </w:t>
      </w:r>
      <w:proofErr w:type="spellStart"/>
      <w:r w:rsidRPr="007725E8">
        <w:t>implicytnie</w:t>
      </w:r>
      <w:proofErr w:type="spellEnd"/>
      <w:r w:rsidRPr="007725E8">
        <w:t xml:space="preserve"> połączona z normami i wartościami ustalonymi w procesie analizy ewaluacji.</w:t>
      </w:r>
    </w:p>
    <w:p w14:paraId="29B94CFE" w14:textId="72414253" w:rsidR="00C34D92" w:rsidRPr="005D2BAF" w:rsidRDefault="00861662" w:rsidP="0086691D">
      <w:pPr>
        <w:rPr>
          <w:sz w:val="20"/>
          <w:szCs w:val="20"/>
        </w:rPr>
      </w:pPr>
      <w:proofErr w:type="spellStart"/>
      <w:r w:rsidRPr="007725E8">
        <w:rPr>
          <w:b/>
          <w:bCs/>
        </w:rPr>
        <w:t>Intertekstualność</w:t>
      </w:r>
      <w:proofErr w:type="spellEnd"/>
      <w:r w:rsidRPr="007725E8">
        <w:rPr>
          <w:b/>
          <w:bCs/>
        </w:rPr>
        <w:t xml:space="preserve"> i </w:t>
      </w:r>
      <w:proofErr w:type="spellStart"/>
      <w:r w:rsidRPr="007725E8">
        <w:rPr>
          <w:b/>
          <w:bCs/>
        </w:rPr>
        <w:t>interdyskursywność</w:t>
      </w:r>
      <w:proofErr w:type="spellEnd"/>
      <w:r w:rsidRPr="007725E8">
        <w:t xml:space="preserve"> (zob. </w:t>
      </w:r>
      <w:proofErr w:type="spellStart"/>
      <w:r w:rsidRPr="007725E8">
        <w:t>Fairclough</w:t>
      </w:r>
      <w:proofErr w:type="spellEnd"/>
      <w:r w:rsidRPr="007725E8">
        <w:t xml:space="preserve"> 2003: 218): Jakie inne teksty są </w:t>
      </w:r>
      <w:r w:rsidR="00A368BB">
        <w:t>dostępne</w:t>
      </w:r>
      <w:r w:rsidRPr="007725E8">
        <w:t xml:space="preserve">? Z jakimi innymi </w:t>
      </w:r>
      <w:r w:rsidRPr="007A4E5F">
        <w:t xml:space="preserve">rodzajami </w:t>
      </w:r>
      <w:r w:rsidR="006447A7" w:rsidRPr="00342A74">
        <w:t>gatunków</w:t>
      </w:r>
      <w:r w:rsidRPr="007A4E5F">
        <w:t xml:space="preserve"> i</w:t>
      </w:r>
      <w:r w:rsidRPr="007725E8">
        <w:t xml:space="preserve"> dyskursów utożsamiają się autorzy? Które odrzucają? Oprócz bezpośrednich odniesień intertekstualnych, powiązania między tekstami mogą zostać również nawiązane </w:t>
      </w:r>
      <w:r w:rsidR="007A4E5F">
        <w:t>na płaszczyźnie</w:t>
      </w:r>
      <w:r w:rsidR="007A4E5F" w:rsidRPr="007725E8">
        <w:t xml:space="preserve"> </w:t>
      </w:r>
      <w:proofErr w:type="spellStart"/>
      <w:r w:rsidRPr="007725E8">
        <w:t>interdyskursywn</w:t>
      </w:r>
      <w:r w:rsidR="007A4E5F">
        <w:t>ej</w:t>
      </w:r>
      <w:proofErr w:type="spellEnd"/>
      <w:r w:rsidRPr="007725E8">
        <w:t xml:space="preserve">, kiedy to autor tekstu reprezentującego dany dyskurs bazuje na innym dyskursie. Oczywistym jest, że </w:t>
      </w:r>
      <w:r w:rsidR="000A01DF">
        <w:t xml:space="preserve">otrzymane wyniki </w:t>
      </w:r>
      <w:r w:rsidRPr="007725E8">
        <w:t>zależą w dużym stopniu od tego jak oznaczane i rozgraniczane są dyskursy</w:t>
      </w:r>
      <w:r w:rsidR="00684332">
        <w:t>,</w:t>
      </w:r>
      <w:r w:rsidRPr="007725E8">
        <w:t xml:space="preserve"> co przypomina o tym, jak ważne jest posiadanie jasnej metody nazywania dyskursów. </w:t>
      </w:r>
      <w:r w:rsidR="00684B83">
        <w:br/>
      </w:r>
      <w:r w:rsidRPr="007725E8">
        <w:t xml:space="preserve">W każdym </w:t>
      </w:r>
      <w:r w:rsidR="0006021E">
        <w:t>przypadku</w:t>
      </w:r>
      <w:r w:rsidR="0006021E" w:rsidRPr="007725E8">
        <w:t xml:space="preserve"> </w:t>
      </w:r>
      <w:r w:rsidRPr="007725E8">
        <w:t xml:space="preserve">badanie powiązania między tekstami, </w:t>
      </w:r>
      <w:r w:rsidR="007A4E5F">
        <w:t>gatunkami</w:t>
      </w:r>
      <w:r w:rsidRPr="007725E8">
        <w:t xml:space="preserve"> i dyskursami</w:t>
      </w:r>
      <w:r w:rsidR="00475B4B">
        <w:t xml:space="preserve"> przyswajanymi</w:t>
      </w:r>
      <w:r w:rsidR="0006021E">
        <w:t xml:space="preserve"> </w:t>
      </w:r>
      <w:r w:rsidRPr="007725E8">
        <w:t xml:space="preserve">przez różne społeczności dyskursu pozwala nie tylko na ustalenie relacji </w:t>
      </w:r>
      <w:r w:rsidR="0006021E">
        <w:t>między poszczególnymi grupami</w:t>
      </w:r>
      <w:r w:rsidRPr="007725E8">
        <w:t xml:space="preserve">, ale wpływa również na tożsamość zbiorową poprzez </w:t>
      </w:r>
      <w:r w:rsidR="0006021E">
        <w:t>wskazanie cech</w:t>
      </w:r>
      <w:r w:rsidRPr="007725E8">
        <w:t xml:space="preserve">, które autor zapożycza w celu skonstruowania danej tożsamości. </w:t>
      </w:r>
      <w:proofErr w:type="spellStart"/>
      <w:r w:rsidRPr="007725E8">
        <w:t>Intertekstualność</w:t>
      </w:r>
      <w:proofErr w:type="spellEnd"/>
      <w:r w:rsidRPr="007725E8">
        <w:t xml:space="preserve"> i </w:t>
      </w:r>
      <w:proofErr w:type="spellStart"/>
      <w:r w:rsidRPr="007725E8">
        <w:t>interdyskursywność</w:t>
      </w:r>
      <w:proofErr w:type="spellEnd"/>
      <w:r w:rsidRPr="007725E8">
        <w:t xml:space="preserve"> mogą odnosić się również do aspektu norm i wartości reprezentacji </w:t>
      </w:r>
      <w:proofErr w:type="spellStart"/>
      <w:r w:rsidRPr="007725E8">
        <w:t>socjokognitywnej</w:t>
      </w:r>
      <w:proofErr w:type="spellEnd"/>
      <w:r w:rsidRPr="007725E8">
        <w:t xml:space="preserve"> aktorów społecznych, w zakresie w jakim parametr ten może być wykorzystany do </w:t>
      </w:r>
      <w:r w:rsidR="0006021E">
        <w:t>zbliżenia się</w:t>
      </w:r>
      <w:r w:rsidR="0006021E" w:rsidRPr="007725E8">
        <w:t xml:space="preserve"> </w:t>
      </w:r>
      <w:r w:rsidRPr="007725E8">
        <w:t xml:space="preserve">autora tekstu do </w:t>
      </w:r>
      <w:r w:rsidR="006E44BD">
        <w:t>wy</w:t>
      </w:r>
      <w:r w:rsidRPr="007725E8">
        <w:t xml:space="preserve">twórców innych tekstów </w:t>
      </w:r>
      <w:r w:rsidR="00250148">
        <w:t>(</w:t>
      </w:r>
      <w:r w:rsidRPr="007725E8">
        <w:t>dyskursów</w:t>
      </w:r>
      <w:r w:rsidR="00250148">
        <w:t>)</w:t>
      </w:r>
      <w:r w:rsidRPr="007725E8">
        <w:t xml:space="preserve"> bądź jego oddalenia od nich.</w:t>
      </w:r>
    </w:p>
    <w:p w14:paraId="52B35C07" w14:textId="387BACF6" w:rsidR="00C34D92" w:rsidRPr="00EA26BD" w:rsidRDefault="00861662" w:rsidP="0086691D">
      <w:pPr>
        <w:rPr>
          <w:sz w:val="20"/>
          <w:szCs w:val="20"/>
        </w:rPr>
      </w:pPr>
      <w:r w:rsidRPr="007725E8">
        <w:rPr>
          <w:b/>
          <w:bCs/>
        </w:rPr>
        <w:t>Metafory</w:t>
      </w:r>
      <w:r w:rsidRPr="007725E8">
        <w:t>: zgodnie z teorią metafor konceptualnych metafora to realizacja językowa bądź semiotyczna na poziomie kognitywnym implicytnych metafor konceptualnych</w:t>
      </w:r>
      <w:r w:rsidR="00F02286">
        <w:rPr>
          <w:rStyle w:val="Odwoanieprzypisudolnego"/>
        </w:rPr>
        <w:footnoteReference w:id="8"/>
      </w:r>
      <w:r w:rsidRPr="007725E8">
        <w:t xml:space="preserve">. Z tego względu parametr ten jest najbardziej podatny na interpretację </w:t>
      </w:r>
      <w:proofErr w:type="spellStart"/>
      <w:r w:rsidRPr="007725E8">
        <w:t>socjokognitywną</w:t>
      </w:r>
      <w:proofErr w:type="spellEnd"/>
      <w:r w:rsidRPr="007725E8">
        <w:t xml:space="preserve">. Pojawia się więc następujące pytanie: </w:t>
      </w:r>
      <w:r w:rsidR="00250148">
        <w:t>j</w:t>
      </w:r>
      <w:r w:rsidRPr="007725E8">
        <w:t xml:space="preserve">ak są </w:t>
      </w:r>
      <w:proofErr w:type="spellStart"/>
      <w:r w:rsidRPr="007725E8">
        <w:t>konceptualizowane</w:t>
      </w:r>
      <w:proofErr w:type="spellEnd"/>
      <w:r w:rsidRPr="007725E8">
        <w:t xml:space="preserve"> w tekście społeczności, które mają wspólną tożsamość? I kolejne: jak implicytne metafory kształtują reprezentację aktorów </w:t>
      </w:r>
      <w:r w:rsidRPr="007725E8">
        <w:lastRenderedPageBreak/>
        <w:t>społecznych i ich działań (</w:t>
      </w:r>
      <w:proofErr w:type="spellStart"/>
      <w:r w:rsidRPr="007725E8">
        <w:t>metafunkcja</w:t>
      </w:r>
      <w:proofErr w:type="spellEnd"/>
      <w:r w:rsidRPr="007725E8">
        <w:t xml:space="preserve"> </w:t>
      </w:r>
      <w:proofErr w:type="spellStart"/>
      <w:r w:rsidRPr="007725E8">
        <w:t>ideacyjna</w:t>
      </w:r>
      <w:proofErr w:type="spellEnd"/>
      <w:r w:rsidRPr="007725E8">
        <w:t>) oraz relacje pomiędzy nimi (</w:t>
      </w:r>
      <w:proofErr w:type="spellStart"/>
      <w:r w:rsidRPr="007725E8">
        <w:t>metafunkcja</w:t>
      </w:r>
      <w:proofErr w:type="spellEnd"/>
      <w:r w:rsidRPr="007725E8">
        <w:t xml:space="preserve"> interpersonalna)?</w:t>
      </w:r>
    </w:p>
    <w:p w14:paraId="7D646743" w14:textId="64456072" w:rsidR="00C34D92" w:rsidRPr="00684332" w:rsidRDefault="00861662" w:rsidP="0086691D">
      <w:pPr>
        <w:rPr>
          <w:sz w:val="20"/>
          <w:szCs w:val="20"/>
        </w:rPr>
      </w:pPr>
      <w:r w:rsidRPr="007725E8">
        <w:t xml:space="preserve">Analiza semiotyczna może zostać więc zastosowana do </w:t>
      </w:r>
      <w:r w:rsidR="00FF490A" w:rsidRPr="007725E8">
        <w:t>wszystkich wymienionych</w:t>
      </w:r>
      <w:r w:rsidRPr="007725E8">
        <w:t xml:space="preserve"> powyżej parametrów</w:t>
      </w:r>
      <w:r w:rsidR="0006021E">
        <w:t>,</w:t>
      </w:r>
      <w:r w:rsidRPr="007725E8">
        <w:t xml:space="preserve"> </w:t>
      </w:r>
      <w:r w:rsidR="0006021E">
        <w:t>a</w:t>
      </w:r>
      <w:r w:rsidRPr="007725E8">
        <w:t xml:space="preserve"> systemy semiotyczne mogą </w:t>
      </w:r>
      <w:r w:rsidR="0006021E">
        <w:t xml:space="preserve">zatem </w:t>
      </w:r>
      <w:r w:rsidRPr="007725E8">
        <w:t>wzmacniać, uzupełniać lub też stanowić</w:t>
      </w:r>
      <w:r w:rsidR="0006021E">
        <w:t xml:space="preserve"> </w:t>
      </w:r>
      <w:r w:rsidRPr="007725E8">
        <w:t xml:space="preserve">przeciwieństwo konstrukcji zbiorowej tożsamości, </w:t>
      </w:r>
      <w:r w:rsidR="0006021E">
        <w:t xml:space="preserve">o której świadczą </w:t>
      </w:r>
      <w:r w:rsidRPr="007725E8">
        <w:t>różne cechy tekstu język</w:t>
      </w:r>
      <w:r w:rsidR="00311DB9">
        <w:t>o</w:t>
      </w:r>
      <w:r w:rsidRPr="007725E8">
        <w:t>wego.</w:t>
      </w:r>
    </w:p>
    <w:p w14:paraId="0FDA686F" w14:textId="5F3B447C" w:rsidR="00C34D92" w:rsidRPr="005D2BAF" w:rsidRDefault="00861662" w:rsidP="0086691D">
      <w:pPr>
        <w:rPr>
          <w:sz w:val="20"/>
          <w:szCs w:val="20"/>
        </w:rPr>
      </w:pPr>
      <w:r w:rsidRPr="00613857">
        <w:t>Choć powyższe parametry sugerują przeprowadzenie dogłębnej analizy  ograniczonego</w:t>
      </w:r>
      <w:r w:rsidRPr="007725E8">
        <w:t xml:space="preserve"> zbioru, to warto zauważyć, że niektóre zbiory mogą być także badane przy pomocy </w:t>
      </w:r>
      <w:r w:rsidR="00250148">
        <w:t xml:space="preserve">narzędzi </w:t>
      </w:r>
      <w:r w:rsidR="0006021E">
        <w:t xml:space="preserve">analizy </w:t>
      </w:r>
      <w:r w:rsidR="0006021E" w:rsidRPr="00613857">
        <w:t>korpusowej</w:t>
      </w:r>
      <w:r w:rsidRPr="00613857">
        <w:t>. Dostarczają one powierzchown</w:t>
      </w:r>
      <w:r w:rsidR="00103902" w:rsidRPr="00613857">
        <w:t>ych</w:t>
      </w:r>
      <w:r w:rsidRPr="00613857">
        <w:t>, ale szeroki</w:t>
      </w:r>
      <w:r w:rsidR="00103902" w:rsidRPr="00613857">
        <w:t>ch</w:t>
      </w:r>
      <w:r w:rsidRPr="00613857">
        <w:t xml:space="preserve"> </w:t>
      </w:r>
      <w:r w:rsidR="00103902" w:rsidRPr="00613857">
        <w:t>wyników</w:t>
      </w:r>
      <w:r w:rsidRPr="00613857">
        <w:t>, któr</w:t>
      </w:r>
      <w:r w:rsidR="00103902" w:rsidRPr="00613857">
        <w:t>e</w:t>
      </w:r>
      <w:r w:rsidRPr="00613857">
        <w:t xml:space="preserve"> </w:t>
      </w:r>
      <w:r w:rsidR="00103902" w:rsidRPr="00613857">
        <w:t>mogą</w:t>
      </w:r>
      <w:r w:rsidR="002245DA" w:rsidRPr="00613857">
        <w:t xml:space="preserve"> </w:t>
      </w:r>
      <w:r w:rsidR="00916B53" w:rsidRPr="00613857">
        <w:t>dopełniać</w:t>
      </w:r>
      <w:r w:rsidRPr="00613857">
        <w:t xml:space="preserve"> analizę</w:t>
      </w:r>
      <w:r w:rsidR="00DF78A0" w:rsidRPr="00613857">
        <w:t xml:space="preserve"> ograniczonego zbioru</w:t>
      </w:r>
      <w:r w:rsidRPr="00613857">
        <w:t>.</w:t>
      </w:r>
      <w:r w:rsidRPr="007725E8">
        <w:t xml:space="preserve"> Wyniki wspomaganej komputerowo analizy korpusowej mogą wydobyć na światło dzienne obszary zainteresowania, które w przeciwnym razie mogłyby zostać pominięte</w:t>
      </w:r>
      <w:r w:rsidR="00236BB3">
        <w:t>,</w:t>
      </w:r>
      <w:r w:rsidRPr="007725E8">
        <w:t xml:space="preserve"> i w ten sposób ukierunkować dalszą </w:t>
      </w:r>
      <w:r w:rsidRPr="00613857">
        <w:t>analizę manualną.</w:t>
      </w:r>
      <w:r w:rsidRPr="007725E8">
        <w:t xml:space="preserve"> </w:t>
      </w:r>
      <w:r w:rsidR="000F020B">
        <w:br/>
      </w:r>
      <w:r w:rsidRPr="007725E8">
        <w:t xml:space="preserve">W praktyce badacz będzie często posługiwał się na przemian </w:t>
      </w:r>
      <w:r w:rsidR="000A01DF">
        <w:t>obiema</w:t>
      </w:r>
      <w:r w:rsidR="00103902">
        <w:t xml:space="preserve"> </w:t>
      </w:r>
      <w:r w:rsidRPr="007725E8">
        <w:t xml:space="preserve">formami analizy, </w:t>
      </w:r>
      <w:r w:rsidR="00AF2B31">
        <w:t>na przykład</w:t>
      </w:r>
      <w:r w:rsidRPr="007725E8">
        <w:t xml:space="preserve"> żeby sprawdzić</w:t>
      </w:r>
      <w:r w:rsidR="00A368BB">
        <w:t>,</w:t>
      </w:r>
      <w:r w:rsidRPr="007725E8">
        <w:t xml:space="preserve"> czy konkretny </w:t>
      </w:r>
      <w:r w:rsidR="000A01DF">
        <w:t>wzorzec</w:t>
      </w:r>
      <w:r w:rsidR="00103902">
        <w:t xml:space="preserve"> </w:t>
      </w:r>
      <w:r w:rsidRPr="007725E8">
        <w:t xml:space="preserve">leksykalny lub gramatyczny znaleziony </w:t>
      </w:r>
      <w:r w:rsidR="000F020B">
        <w:br/>
      </w:r>
      <w:r w:rsidRPr="007725E8">
        <w:t>w tekście znajduje odzwierciedlenie w większym zbiorze danych. Podstawowe parametry lingwistyczne wykorzystywane w analizie korpusowej to listy częstotliwości występowania słów, słowa kluczowe, konkordancje i kolokacje (</w:t>
      </w:r>
      <w:r w:rsidR="00236BB3">
        <w:t xml:space="preserve">szczegóły </w:t>
      </w:r>
      <w:r w:rsidRPr="007725E8">
        <w:t>zob. Baker 2006). Co do zasady analiza korpusowa może zostać wykorzystana w każdym z parametrów, który jest obecny leksykaln</w:t>
      </w:r>
      <w:r w:rsidR="0006021E">
        <w:t>ie</w:t>
      </w:r>
      <w:r w:rsidRPr="007725E8">
        <w:t xml:space="preserve"> i/lub gramatyczn</w:t>
      </w:r>
      <w:r w:rsidR="0006021E">
        <w:t>ie</w:t>
      </w:r>
      <w:r w:rsidRPr="007725E8">
        <w:t>, choć identyfikacja metafor wywołuje problemy, które być może najlepiej rozwiązywać przy wykorzystaniu innych narzędzi</w:t>
      </w:r>
      <w:r w:rsidR="0061030E">
        <w:t>,</w:t>
      </w:r>
      <w:r w:rsidRPr="007725E8">
        <w:t xml:space="preserve"> takich jak półautomatyczna adnotacja semantyczna (zob. </w:t>
      </w:r>
      <w:proofErr w:type="spellStart"/>
      <w:r w:rsidRPr="007725E8">
        <w:t>Hardie</w:t>
      </w:r>
      <w:proofErr w:type="spellEnd"/>
      <w:r w:rsidRPr="007725E8">
        <w:t xml:space="preserve"> </w:t>
      </w:r>
      <w:r w:rsidR="00FF1B2D">
        <w:t>i in.</w:t>
      </w:r>
      <w:r w:rsidRPr="007725E8">
        <w:t xml:space="preserve"> 2007).</w:t>
      </w:r>
    </w:p>
    <w:p w14:paraId="18B51326" w14:textId="669B22BE" w:rsidR="00C34D92" w:rsidRPr="005D2BAF" w:rsidRDefault="00861662" w:rsidP="0086691D">
      <w:pPr>
        <w:rPr>
          <w:sz w:val="20"/>
          <w:szCs w:val="20"/>
        </w:rPr>
      </w:pPr>
      <w:r w:rsidRPr="007725E8">
        <w:t>Opis powyższych i/lub jakichkolwiek innych cech językowych</w:t>
      </w:r>
      <w:r w:rsidR="002454AB">
        <w:t>,</w:t>
      </w:r>
      <w:r w:rsidRPr="007725E8">
        <w:t xml:space="preserve"> wykorzystywanych </w:t>
      </w:r>
      <w:r w:rsidR="000F020B">
        <w:br/>
      </w:r>
      <w:r w:rsidRPr="007725E8">
        <w:t>w konkretnej sytuacji komunikacyjnej</w:t>
      </w:r>
      <w:r w:rsidR="002454AB">
        <w:t>,</w:t>
      </w:r>
      <w:r w:rsidRPr="007725E8">
        <w:t xml:space="preserve"> stanowi </w:t>
      </w:r>
      <w:r w:rsidR="009067F2">
        <w:t>podstawę</w:t>
      </w:r>
      <w:r w:rsidRPr="007725E8">
        <w:t xml:space="preserve"> dla kolejnych argumentów wysuwanych w trakcie ich interpretacji. Dotyczy to również analizy praktyk dyskursywnych, które towarzyszą tekstowi, </w:t>
      </w:r>
      <w:r w:rsidR="00AF2B31">
        <w:t>na przykład</w:t>
      </w:r>
      <w:r w:rsidRPr="007725E8">
        <w:t xml:space="preserve"> role członków społeczności dyskursywnej i relacje między nimi. W tej części analizy </w:t>
      </w:r>
      <w:r w:rsidR="0045039E">
        <w:t>ustala się</w:t>
      </w:r>
      <w:r w:rsidRPr="007725E8">
        <w:t xml:space="preserve"> wzorce tego, kto jest </w:t>
      </w:r>
      <w:r w:rsidR="000E080F">
        <w:t>twórcą</w:t>
      </w:r>
      <w:r w:rsidRPr="007725E8">
        <w:t xml:space="preserve"> jakich </w:t>
      </w:r>
      <w:r w:rsidR="006D1092">
        <w:t>gatunków tekstów</w:t>
      </w:r>
      <w:r w:rsidRPr="007725E8">
        <w:t xml:space="preserve">, kto je rozprowadza i za pomocą jakiego medium to robi, dla jakiej publiczności przeznaczone są teksty – </w:t>
      </w:r>
      <w:r w:rsidR="00AF2B31">
        <w:t>na przykład</w:t>
      </w:r>
      <w:r w:rsidRPr="007725E8">
        <w:t xml:space="preserve"> poprzez wnioskowanie w oparciu o zakładaną wspólną wiedzę i wartości – do kogo tak naprawdę dociera badany tekst i kto go interpretuje</w:t>
      </w:r>
      <w:r w:rsidR="00236BB3">
        <w:t>,</w:t>
      </w:r>
      <w:r w:rsidRPr="007725E8">
        <w:t xml:space="preserve"> i wreszcie kto wykorzystuje dany tekst i do jakich celów. W tym kontekście pojawia się pytanie</w:t>
      </w:r>
      <w:r w:rsidR="00A368BB">
        <w:t>,</w:t>
      </w:r>
      <w:r w:rsidRPr="007725E8">
        <w:t xml:space="preserve"> w jakich warunkach</w:t>
      </w:r>
      <w:r w:rsidR="0024090F">
        <w:t xml:space="preserve"> przebiega proces wytwarzania</w:t>
      </w:r>
      <w:r w:rsidRPr="007725E8">
        <w:t xml:space="preserve">, dystrybucja, odbiór i przyswajanie tekstu. Analiza kontekstu praktyk dyskursu pod kątem </w:t>
      </w:r>
      <w:proofErr w:type="spellStart"/>
      <w:r w:rsidRPr="007725E8">
        <w:t>socjokognitywnym</w:t>
      </w:r>
      <w:proofErr w:type="spellEnd"/>
      <w:r w:rsidRPr="007725E8">
        <w:t xml:space="preserve"> dostarcza informacji o skryptach proceduralnych, które odgrywają uczestnicy dyskursu, lub od których się oddalają, w swoich praktykach </w:t>
      </w:r>
      <w:r w:rsidR="0024090F">
        <w:t>wytwarzania</w:t>
      </w:r>
      <w:r w:rsidRPr="007725E8">
        <w:t xml:space="preserve"> tekstu itp. Ponadto, praktyki dyskursu mogą być również rozważane </w:t>
      </w:r>
      <w:r w:rsidRPr="007725E8">
        <w:lastRenderedPageBreak/>
        <w:t xml:space="preserve">jako poddane wpływom reprezentacji </w:t>
      </w:r>
      <w:proofErr w:type="spellStart"/>
      <w:r w:rsidRPr="007725E8">
        <w:t>socjokognitywnych</w:t>
      </w:r>
      <w:proofErr w:type="spellEnd"/>
      <w:r w:rsidRPr="007725E8">
        <w:t xml:space="preserve"> producentów i odbiorców, włączając w to stereotypy i typy idealne. W zakresie, w jakim uczestnicy dyskursu, poprzez produkcję </w:t>
      </w:r>
      <w:r w:rsidR="000F020B">
        <w:br/>
      </w:r>
      <w:r w:rsidRPr="007725E8">
        <w:t>i dystrybucję tekstów, dążą do realizacji konkretnych celów komunikacyjnych</w:t>
      </w:r>
      <w:r w:rsidR="00B97EE1">
        <w:t>,</w:t>
      </w:r>
      <w:r w:rsidRPr="007725E8">
        <w:t xml:space="preserve"> praktyki te będą przykładami </w:t>
      </w:r>
      <w:r w:rsidR="0045039E" w:rsidRPr="00087B57">
        <w:t>gatunku</w:t>
      </w:r>
      <w:r w:rsidRPr="007725E8">
        <w:t xml:space="preserve"> i jako takie wykazywać pewne cechy językowe i semiotyczne. Co więcej, będą one rozprowadzane kanałami, dzięki którym cel komunikacyjny autora tekstu będzie najłatwiejszy do osiągnięcia. Prototypowe przykłady </w:t>
      </w:r>
      <w:r w:rsidR="0045039E" w:rsidRPr="00087B57">
        <w:t>gatunku</w:t>
      </w:r>
      <w:r w:rsidRPr="007725E8">
        <w:t xml:space="preserve"> będą zawierać rozpoznawalne cechy</w:t>
      </w:r>
      <w:r w:rsidR="00A368BB">
        <w:t xml:space="preserve">, a na </w:t>
      </w:r>
      <w:r w:rsidRPr="007725E8">
        <w:t xml:space="preserve">cechy językowe tekstu ma dodatkowo wpływ model idealnego odbiorcy wytworzony przez jego </w:t>
      </w:r>
      <w:r w:rsidR="00B97EE1">
        <w:t>autora</w:t>
      </w:r>
      <w:r w:rsidRPr="007725E8">
        <w:t xml:space="preserve"> oraz warunki</w:t>
      </w:r>
      <w:r w:rsidR="00A368BB">
        <w:t>,</w:t>
      </w:r>
      <w:r w:rsidRPr="007725E8">
        <w:t xml:space="preserve"> w jakich zakłada się jego odbiór.</w:t>
      </w:r>
    </w:p>
    <w:p w14:paraId="49D8CA8D" w14:textId="12E81914" w:rsidR="00C34D92" w:rsidRPr="005D2BAF" w:rsidRDefault="00861662" w:rsidP="0086691D">
      <w:pPr>
        <w:rPr>
          <w:sz w:val="20"/>
          <w:szCs w:val="20"/>
        </w:rPr>
      </w:pPr>
      <w:r w:rsidRPr="007725E8">
        <w:t xml:space="preserve">Leżące u ich podstaw praktyka dyskursu i modele kognitywne nie tylko mają wpływ na poziom mikro tekstu, ale </w:t>
      </w:r>
      <w:r w:rsidR="00A368BB">
        <w:t>pozostają również pod wpływem</w:t>
      </w:r>
      <w:r w:rsidRPr="007725E8">
        <w:t xml:space="preserve"> poziomu makro kontekstu społecznego. Dlatego też warunki </w:t>
      </w:r>
      <w:proofErr w:type="spellStart"/>
      <w:r w:rsidRPr="007725E8">
        <w:t>socjokulturowe</w:t>
      </w:r>
      <w:proofErr w:type="spellEnd"/>
      <w:r w:rsidRPr="007725E8">
        <w:t xml:space="preserve"> i socjoekonomiczne </w:t>
      </w:r>
      <w:r w:rsidR="00A368BB">
        <w:t xml:space="preserve">mogą </w:t>
      </w:r>
      <w:r w:rsidRPr="007725E8">
        <w:t>ułatwia</w:t>
      </w:r>
      <w:r w:rsidR="00A368BB">
        <w:t>ć</w:t>
      </w:r>
      <w:r w:rsidRPr="007725E8">
        <w:t xml:space="preserve"> lub utrudnia</w:t>
      </w:r>
      <w:r w:rsidR="00A368BB">
        <w:t xml:space="preserve">ć </w:t>
      </w:r>
      <w:r w:rsidRPr="007725E8">
        <w:t xml:space="preserve">dostęp uczestnikom dyskursu do </w:t>
      </w:r>
      <w:r w:rsidRPr="0024090F">
        <w:t>środków</w:t>
      </w:r>
      <w:r w:rsidRPr="007725E8">
        <w:t xml:space="preserve"> </w:t>
      </w:r>
      <w:r w:rsidR="0024090F">
        <w:t>wytwarzania</w:t>
      </w:r>
      <w:r w:rsidRPr="007725E8">
        <w:t xml:space="preserve"> i dystrybucji na większą skalę, przy jednoczesnym obdarzeniu ich pewnym stopniem wiarygodności lub </w:t>
      </w:r>
      <w:r w:rsidR="00B97EE1" w:rsidRPr="007725E8">
        <w:t>je</w:t>
      </w:r>
      <w:r w:rsidR="00B97EE1">
        <w:t>j</w:t>
      </w:r>
      <w:r w:rsidR="00B97EE1" w:rsidRPr="007725E8">
        <w:t xml:space="preserve"> </w:t>
      </w:r>
      <w:r w:rsidRPr="007725E8">
        <w:t xml:space="preserve">brakiem. </w:t>
      </w:r>
      <w:r w:rsidR="000F020B">
        <w:br/>
      </w:r>
      <w:r w:rsidRPr="007725E8">
        <w:t>Z punktu widzenia odbioru</w:t>
      </w:r>
      <w:r w:rsidR="00311DB9">
        <w:t xml:space="preserve"> </w:t>
      </w:r>
      <w:bookmarkStart w:id="6" w:name="page9"/>
      <w:bookmarkEnd w:id="6"/>
      <w:r w:rsidRPr="007725E8">
        <w:rPr>
          <w:rFonts w:eastAsia="Georgia"/>
          <w:szCs w:val="24"/>
        </w:rPr>
        <w:t>znowu jedynie niektóre grupy społeczne mają dostęp do większej lub mniejszej liczby tekstów lub do różnych rodzajów tekstów. Wreszcie przyswojenie tekstu opiera się na kapitale kulturowym, takim jak umiejętności czytania i pisania, i tak samo</w:t>
      </w:r>
      <w:r w:rsidR="00A368BB">
        <w:rPr>
          <w:rFonts w:eastAsia="Georgia"/>
          <w:szCs w:val="24"/>
        </w:rPr>
        <w:t>,</w:t>
      </w:r>
      <w:r w:rsidRPr="007725E8">
        <w:rPr>
          <w:rFonts w:eastAsia="Georgia"/>
          <w:szCs w:val="24"/>
        </w:rPr>
        <w:t xml:space="preserve"> jak </w:t>
      </w:r>
      <w:r w:rsidR="000F020B">
        <w:rPr>
          <w:rFonts w:eastAsia="Georgia"/>
          <w:szCs w:val="24"/>
        </w:rPr>
        <w:br/>
      </w:r>
      <w:r w:rsidRPr="007725E8">
        <w:rPr>
          <w:rFonts w:eastAsia="Georgia"/>
          <w:szCs w:val="24"/>
        </w:rPr>
        <w:t>w poprzednich przypadkach, na dostępie do środków produkcji i dystrybucji, przez co faworyzuje</w:t>
      </w:r>
      <w:r w:rsidR="000E080F">
        <w:rPr>
          <w:rFonts w:eastAsia="Georgia"/>
          <w:szCs w:val="24"/>
        </w:rPr>
        <w:t xml:space="preserve"> się</w:t>
      </w:r>
      <w:r w:rsidRPr="007725E8">
        <w:rPr>
          <w:rFonts w:eastAsia="Georgia"/>
          <w:szCs w:val="24"/>
        </w:rPr>
        <w:t xml:space="preserve"> niektóre grupy, a innym szkodzi.</w:t>
      </w:r>
    </w:p>
    <w:p w14:paraId="43045DD3" w14:textId="6D16D36E" w:rsidR="00C34D92" w:rsidRPr="007725E8" w:rsidRDefault="00861662" w:rsidP="0086691D">
      <w:r w:rsidRPr="007725E8">
        <w:t>Z racji wspólnych zależności między trzema poziomami tekstu i kontekstów, do celów interpretacji wyników analizy tekstualnej bierze się pod uwagę również analizę szerszych formacji społecznych. W przypadku różnych tekstów nacisk można położyć na formacje polityczne, kultur</w:t>
      </w:r>
      <w:r w:rsidR="00A77757">
        <w:t>owe</w:t>
      </w:r>
      <w:r w:rsidR="00A53CDC">
        <w:t xml:space="preserve"> </w:t>
      </w:r>
      <w:r w:rsidRPr="007725E8">
        <w:t>lub religijne, a także na połączenie tych zjawisk. Zadawane na tym poziomie kontekstualnym pytania dotyczą tego, jak</w:t>
      </w:r>
      <w:r w:rsidR="0042095D">
        <w:t>ie</w:t>
      </w:r>
      <w:r w:rsidRPr="007725E8">
        <w:t xml:space="preserve"> rol</w:t>
      </w:r>
      <w:r w:rsidR="0042095D">
        <w:t>e są powierzane</w:t>
      </w:r>
      <w:r w:rsidRPr="007725E8">
        <w:t xml:space="preserve"> </w:t>
      </w:r>
      <w:r w:rsidR="00C85C6E">
        <w:t>aktorom</w:t>
      </w:r>
      <w:r w:rsidRPr="007725E8">
        <w:t xml:space="preserve">, czy </w:t>
      </w:r>
      <w:r w:rsidR="00C85C6E">
        <w:t>te role ulegają zmianie</w:t>
      </w:r>
      <w:r w:rsidRPr="007725E8">
        <w:t xml:space="preserve">, a jeżeli tak, to dlaczego i w jaki sposób. Analiza </w:t>
      </w:r>
      <w:proofErr w:type="spellStart"/>
      <w:r w:rsidRPr="007725E8">
        <w:t>socjokognitywna</w:t>
      </w:r>
      <w:proofErr w:type="spellEnd"/>
      <w:r w:rsidRPr="007725E8">
        <w:t xml:space="preserve"> ma na celu wyciągnięcie wniosków na temat reprezentacji </w:t>
      </w:r>
      <w:proofErr w:type="spellStart"/>
      <w:r w:rsidRPr="007725E8">
        <w:t>socjokognitywnych</w:t>
      </w:r>
      <w:proofErr w:type="spellEnd"/>
      <w:r w:rsidRPr="007725E8">
        <w:t xml:space="preserve"> grup społecznych </w:t>
      </w:r>
      <w:r w:rsidR="000F020B">
        <w:br/>
      </w:r>
      <w:r w:rsidRPr="007725E8">
        <w:t xml:space="preserve">i instytucji, a także ideologii dominujących i </w:t>
      </w:r>
      <w:proofErr w:type="spellStart"/>
      <w:r w:rsidRPr="007725E8">
        <w:t>kontrideologii</w:t>
      </w:r>
      <w:proofErr w:type="spellEnd"/>
      <w:r w:rsidRPr="007725E8">
        <w:t xml:space="preserve">, </w:t>
      </w:r>
      <w:r w:rsidR="00023D87">
        <w:t>wówczas gdy</w:t>
      </w:r>
      <w:r w:rsidRPr="007725E8">
        <w:t xml:space="preserve"> ideologię można tymczasowo zdefiniować jako sieci reprezentacji </w:t>
      </w:r>
      <w:proofErr w:type="spellStart"/>
      <w:r w:rsidRPr="007725E8">
        <w:t>socjokognitywnych</w:t>
      </w:r>
      <w:proofErr w:type="spellEnd"/>
      <w:r w:rsidRPr="007725E8">
        <w:t>. Odpowiedzi na te pytania ostatecznie odnosić się będą do poziomu mikro w tekście, ponieważ pomogą ustalić, dlaczego poszczególni aktorzy społeczni są przedstawi</w:t>
      </w:r>
      <w:r w:rsidR="00863493">
        <w:t>e</w:t>
      </w:r>
      <w:r w:rsidR="007D5640">
        <w:t>n</w:t>
      </w:r>
      <w:r w:rsidR="00863493">
        <w:t>i</w:t>
      </w:r>
      <w:r w:rsidRPr="007725E8">
        <w:t xml:space="preserve"> w taki, a nie inny sposób.</w:t>
      </w:r>
    </w:p>
    <w:p w14:paraId="4F528341" w14:textId="3ABA32EA" w:rsidR="00C34D92" w:rsidRPr="007725E8" w:rsidRDefault="00861662" w:rsidP="0086691D">
      <w:r w:rsidRPr="007725E8">
        <w:t xml:space="preserve">Powyższy trzyczęściowy model współzależnych kontekstów, </w:t>
      </w:r>
      <w:proofErr w:type="spellStart"/>
      <w:r w:rsidRPr="007725E8">
        <w:t>metafunkcji</w:t>
      </w:r>
      <w:proofErr w:type="spellEnd"/>
      <w:r w:rsidRPr="007725E8">
        <w:t xml:space="preserve"> i poziomów analizy skłania do sformułowania następujących ogólnych pytań badawczych, na które</w:t>
      </w:r>
      <w:r w:rsidR="00BA1035">
        <w:t xml:space="preserve"> można spróbować znaleźć odpowiedź, badając tożsamość zbiorową w</w:t>
      </w:r>
      <w:r w:rsidRPr="007725E8">
        <w:t xml:space="preserve"> dyskursie:</w:t>
      </w:r>
    </w:p>
    <w:p w14:paraId="726D7626" w14:textId="66119458" w:rsidR="00311DB9" w:rsidRPr="007725E8" w:rsidRDefault="00861662" w:rsidP="0086691D">
      <w:pPr>
        <w:pStyle w:val="Akapitzlist"/>
        <w:numPr>
          <w:ilvl w:val="0"/>
          <w:numId w:val="7"/>
        </w:numPr>
      </w:pPr>
      <w:r w:rsidRPr="007725E8">
        <w:t>Jaki</w:t>
      </w:r>
      <w:r w:rsidR="00E72A93">
        <w:t xml:space="preserve"> przykład</w:t>
      </w:r>
      <w:r w:rsidRPr="007725E8">
        <w:t xml:space="preserve"> tożsamości zbiorowe</w:t>
      </w:r>
      <w:r w:rsidR="00E72A93">
        <w:t>j</w:t>
      </w:r>
      <w:r w:rsidRPr="007725E8">
        <w:t xml:space="preserve"> konstruuje autor konkretnego tekstu? (poziom mikro)</w:t>
      </w:r>
    </w:p>
    <w:p w14:paraId="58DA5D4E" w14:textId="0B1697F2" w:rsidR="00C34D92" w:rsidRPr="007725E8" w:rsidRDefault="00861662" w:rsidP="0086691D">
      <w:pPr>
        <w:pStyle w:val="Akapitzlist"/>
        <w:numPr>
          <w:ilvl w:val="0"/>
          <w:numId w:val="7"/>
        </w:numPr>
      </w:pPr>
      <w:r w:rsidRPr="007725E8">
        <w:lastRenderedPageBreak/>
        <w:t>W jaki sposób konstruowan</w:t>
      </w:r>
      <w:r w:rsidR="00E72A93">
        <w:t>a jest</w:t>
      </w:r>
      <w:r w:rsidRPr="007725E8">
        <w:t xml:space="preserve"> tożsamoś</w:t>
      </w:r>
      <w:r w:rsidR="00E72A93">
        <w:t>ć</w:t>
      </w:r>
      <w:r w:rsidRPr="007725E8">
        <w:t xml:space="preserve"> zbiorow</w:t>
      </w:r>
      <w:r w:rsidR="00E72A93">
        <w:t>a</w:t>
      </w:r>
      <w:r w:rsidRPr="007725E8">
        <w:t xml:space="preserve"> w danym tekście? (poziom mikro)</w:t>
      </w:r>
    </w:p>
    <w:p w14:paraId="4C3A54E6" w14:textId="144004F7" w:rsidR="00C34D92" w:rsidRPr="007725E8" w:rsidRDefault="00861662" w:rsidP="0086691D">
      <w:pPr>
        <w:pStyle w:val="Akapitzlist"/>
        <w:numPr>
          <w:ilvl w:val="0"/>
          <w:numId w:val="7"/>
        </w:numPr>
      </w:pPr>
      <w:r w:rsidRPr="007725E8">
        <w:t xml:space="preserve">Kto bierze udział w praktykach dyskursywnych związanych z tekstem i jaką rolę przyjmuje? Przykładem jakiego </w:t>
      </w:r>
      <w:r w:rsidR="00AC1127" w:rsidRPr="00087B57">
        <w:t>gatunku</w:t>
      </w:r>
      <w:r w:rsidRPr="007725E8">
        <w:t xml:space="preserve"> jest </w:t>
      </w:r>
      <w:r w:rsidR="00A53CDC">
        <w:t xml:space="preserve">dany </w:t>
      </w:r>
      <w:r w:rsidRPr="007725E8">
        <w:t xml:space="preserve">tekst? (poziom </w:t>
      </w:r>
      <w:proofErr w:type="spellStart"/>
      <w:r w:rsidRPr="007725E8">
        <w:t>mezo</w:t>
      </w:r>
      <w:proofErr w:type="spellEnd"/>
      <w:r w:rsidRPr="007725E8">
        <w:t>)</w:t>
      </w:r>
    </w:p>
    <w:p w14:paraId="16EE97B2" w14:textId="77777777" w:rsidR="00C34D92" w:rsidRPr="007725E8" w:rsidRDefault="00861662" w:rsidP="0086691D">
      <w:pPr>
        <w:pStyle w:val="Akapitzlist"/>
        <w:numPr>
          <w:ilvl w:val="0"/>
          <w:numId w:val="7"/>
        </w:numPr>
      </w:pPr>
      <w:r w:rsidRPr="007725E8">
        <w:t>Jakie czynniki społeczne mają wpływ na tekst i praktykę dyskursywną? (poziom makro)</w:t>
      </w:r>
    </w:p>
    <w:p w14:paraId="2257FB32" w14:textId="47B87391" w:rsidR="00C34D92" w:rsidRPr="007725E8" w:rsidRDefault="00861662" w:rsidP="00087B57">
      <w:pPr>
        <w:rPr>
          <w:rFonts w:eastAsia="Symbol"/>
        </w:rPr>
      </w:pPr>
      <w:r w:rsidRPr="007725E8">
        <w:t>Pytania 3 i 4 prowadzą tym samym do kwestii docelowej:</w:t>
      </w:r>
      <w:r w:rsidR="00A368BB">
        <w:t xml:space="preserve"> </w:t>
      </w:r>
      <w:r w:rsidRPr="007725E8">
        <w:t>Dlaczego tożsamoś</w:t>
      </w:r>
      <w:r w:rsidR="00E72A93">
        <w:t>ć</w:t>
      </w:r>
      <w:r w:rsidRPr="007725E8">
        <w:t xml:space="preserve"> </w:t>
      </w:r>
      <w:r w:rsidR="00E72A93">
        <w:t xml:space="preserve">jest </w:t>
      </w:r>
      <w:r w:rsidRPr="007725E8">
        <w:t>konstruowan</w:t>
      </w:r>
      <w:r w:rsidR="00E72A93">
        <w:t>a</w:t>
      </w:r>
      <w:r w:rsidRPr="007725E8">
        <w:t xml:space="preserve"> w dyskursie i dlaczego </w:t>
      </w:r>
      <w:r w:rsidR="0006021E">
        <w:t xml:space="preserve">właśnie </w:t>
      </w:r>
      <w:r w:rsidRPr="007725E8">
        <w:t xml:space="preserve">w </w:t>
      </w:r>
      <w:r w:rsidR="00E72A93">
        <w:t>taki</w:t>
      </w:r>
      <w:r w:rsidR="00E72A93" w:rsidRPr="007725E8">
        <w:t xml:space="preserve"> </w:t>
      </w:r>
      <w:r w:rsidRPr="007725E8">
        <w:t>sposób?</w:t>
      </w:r>
    </w:p>
    <w:p w14:paraId="10D81E70" w14:textId="123F17C7" w:rsidR="00C34D92" w:rsidRPr="00EA26BD" w:rsidRDefault="00861662" w:rsidP="0086691D">
      <w:pPr>
        <w:rPr>
          <w:sz w:val="20"/>
          <w:szCs w:val="20"/>
        </w:rPr>
      </w:pPr>
      <w:r w:rsidRPr="007725E8">
        <w:t xml:space="preserve">W celu zilustrowania przedstawionych powyżej zagadnień </w:t>
      </w:r>
      <w:r w:rsidR="00483BEC">
        <w:t>po</w:t>
      </w:r>
      <w:r w:rsidR="00BA1035">
        <w:t>niższa</w:t>
      </w:r>
      <w:r w:rsidR="00483BEC">
        <w:t xml:space="preserve"> część</w:t>
      </w:r>
      <w:r w:rsidRPr="007725E8">
        <w:t xml:space="preserve"> artykułu będzie stanowić przykładową analizę próbki tekstu, wewnątrz którego konstruowan</w:t>
      </w:r>
      <w:r w:rsidR="00A368BB">
        <w:t>a</w:t>
      </w:r>
      <w:r w:rsidRPr="007725E8">
        <w:t xml:space="preserve"> </w:t>
      </w:r>
      <w:r w:rsidR="00A368BB">
        <w:t>jest tożsamość zbiorowa</w:t>
      </w:r>
      <w:r w:rsidRPr="007725E8">
        <w:t xml:space="preserve"> konsumentów.</w:t>
      </w:r>
    </w:p>
    <w:p w14:paraId="4E146E27" w14:textId="49126C50" w:rsidR="00C34D92" w:rsidRPr="007725E8" w:rsidRDefault="00311DB9" w:rsidP="0086691D">
      <w:pPr>
        <w:pStyle w:val="Nagwek1"/>
      </w:pPr>
      <w:r>
        <w:t xml:space="preserve">4. </w:t>
      </w:r>
      <w:r w:rsidR="00861662" w:rsidRPr="007725E8">
        <w:t>Przykład: tożsamość płciowa i seksualna w dyskursie reklamowym</w:t>
      </w:r>
    </w:p>
    <w:p w14:paraId="57BFD258" w14:textId="035D8DEE" w:rsidR="00C34D92" w:rsidRPr="00684332" w:rsidRDefault="00861662" w:rsidP="00621393">
      <w:pPr>
        <w:ind w:firstLine="0"/>
        <w:rPr>
          <w:sz w:val="20"/>
          <w:szCs w:val="20"/>
        </w:rPr>
      </w:pPr>
      <w:r w:rsidRPr="007725E8">
        <w:t xml:space="preserve">Analizowana próbka pochodzi ze świątecznego katalogu marki </w:t>
      </w:r>
      <w:proofErr w:type="spellStart"/>
      <w:r w:rsidRPr="007725E8">
        <w:t>Boots</w:t>
      </w:r>
      <w:proofErr w:type="spellEnd"/>
      <w:r w:rsidRPr="007725E8">
        <w:t xml:space="preserve">, popularnej brytyjskiej sieci aptek, z 2009 roku. Katalog, który dostępny był za darmo w aptekach </w:t>
      </w:r>
      <w:proofErr w:type="spellStart"/>
      <w:r w:rsidRPr="007725E8">
        <w:t>Booots</w:t>
      </w:r>
      <w:proofErr w:type="spellEnd"/>
      <w:r w:rsidRPr="007725E8">
        <w:t xml:space="preserve">, składa się z 299 stron i podzielony jest na </w:t>
      </w:r>
      <w:r w:rsidRPr="0006021E">
        <w:t xml:space="preserve">sześć </w:t>
      </w:r>
      <w:r w:rsidR="0045039E" w:rsidRPr="00087B57">
        <w:t>części</w:t>
      </w:r>
      <w:r w:rsidR="0006021E" w:rsidRPr="0006021E">
        <w:t xml:space="preserve"> </w:t>
      </w:r>
      <w:r w:rsidRPr="0006021E">
        <w:t>ze</w:t>
      </w:r>
      <w:r w:rsidRPr="007725E8">
        <w:t xml:space="preserve"> względu na kategori</w:t>
      </w:r>
      <w:r w:rsidR="00863493">
        <w:t>e</w:t>
      </w:r>
      <w:r w:rsidRPr="007725E8">
        <w:t xml:space="preserve"> produktów. Do analizy </w:t>
      </w:r>
      <w:r w:rsidRPr="0006021E">
        <w:t xml:space="preserve">wybrano trzy </w:t>
      </w:r>
      <w:r w:rsidR="0045039E" w:rsidRPr="00087B57">
        <w:t>części</w:t>
      </w:r>
      <w:r w:rsidRPr="0006021E">
        <w:t>: makijaż</w:t>
      </w:r>
      <w:r w:rsidRPr="007725E8">
        <w:t xml:space="preserve"> i perfumy, produkty do kąpieli i pielęgnacji skóry oraz kosmetyki dla mężczyzn. Wybór podyktowany jest największym potencjałem tych kategorii produktów dla celów analizy pod względem tożsamości płciowej i seksualnej (por. z analizą semiotyczną zabawek i gier, czyli inną z kategorii z katalogu, zob. </w:t>
      </w:r>
      <w:proofErr w:type="spellStart"/>
      <w:r w:rsidRPr="007725E8">
        <w:t>Caldas-Coulthard</w:t>
      </w:r>
      <w:proofErr w:type="spellEnd"/>
      <w:r w:rsidRPr="007725E8">
        <w:t xml:space="preserve"> i van </w:t>
      </w:r>
      <w:proofErr w:type="spellStart"/>
      <w:r w:rsidRPr="007725E8">
        <w:t>Leeuwen</w:t>
      </w:r>
      <w:proofErr w:type="spellEnd"/>
      <w:r w:rsidRPr="007725E8">
        <w:t xml:space="preserve"> 2002). Katalog zawiera też różne typy tekstów: wstęp do kategorii produktów, opis marek i promocji, opinie klientów i pracowników, porady ekspertów, wskazówki dotyczące robienia zakupów, aż w końcu</w:t>
      </w:r>
      <w:bookmarkStart w:id="7" w:name="page10"/>
      <w:bookmarkEnd w:id="7"/>
      <w:r w:rsidR="00311DB9">
        <w:t xml:space="preserve"> </w:t>
      </w:r>
      <w:r w:rsidRPr="007725E8">
        <w:t xml:space="preserve">opisy produktów. Trzy pierwsze kategorie zostały wybrane również </w:t>
      </w:r>
      <w:r w:rsidR="00330407">
        <w:t>ze względu na fakt, iż zawierały</w:t>
      </w:r>
      <w:r w:rsidRPr="007725E8">
        <w:t xml:space="preserve"> najdłuższ</w:t>
      </w:r>
      <w:r w:rsidR="00863493">
        <w:t>e</w:t>
      </w:r>
      <w:r w:rsidRPr="007725E8">
        <w:t xml:space="preserve"> </w:t>
      </w:r>
      <w:r w:rsidR="00863493" w:rsidRPr="007725E8">
        <w:t>fragment</w:t>
      </w:r>
      <w:r w:rsidR="00863493">
        <w:t>y</w:t>
      </w:r>
      <w:r w:rsidR="00863493" w:rsidRPr="007725E8">
        <w:t xml:space="preserve"> </w:t>
      </w:r>
      <w:r w:rsidRPr="007725E8">
        <w:t xml:space="preserve">ciągłego tekstu. Analizowane </w:t>
      </w:r>
      <w:r w:rsidR="00330407">
        <w:t>dane składają się</w:t>
      </w:r>
      <w:r w:rsidRPr="007725E8">
        <w:t xml:space="preserve"> </w:t>
      </w:r>
      <w:r w:rsidR="00510626">
        <w:br/>
      </w:r>
      <w:r w:rsidRPr="007725E8">
        <w:t xml:space="preserve">w sumie z 2335 słów. W </w:t>
      </w:r>
      <w:r w:rsidR="00A32A45">
        <w:t>kolejnych</w:t>
      </w:r>
      <w:r w:rsidRPr="007725E8">
        <w:t xml:space="preserve"> akapitach przeprowadzono analizę </w:t>
      </w:r>
      <w:r w:rsidR="001E4B0D">
        <w:t xml:space="preserve"> pod kątem</w:t>
      </w:r>
      <w:r w:rsidRPr="007725E8">
        <w:t xml:space="preserve"> aktorów społecznych, procesów i ewaluacji, a całość uzupełniono krótkim opisem cech semiotycznych. Następnie omówiono zagadnienie praktyki dyskursywnej i kontekstu socjoekonomicznego.</w:t>
      </w:r>
    </w:p>
    <w:p w14:paraId="02D39B6B" w14:textId="79F2F295" w:rsidR="00C34D92" w:rsidRPr="00621393" w:rsidRDefault="00861662" w:rsidP="00087B57">
      <w:pPr>
        <w:pStyle w:val="Nagwek2"/>
      </w:pPr>
      <w:r w:rsidRPr="00621393">
        <w:t>4.1. Analiza tekstu</w:t>
      </w:r>
    </w:p>
    <w:p w14:paraId="4EBB6A5E" w14:textId="2893BC97" w:rsidR="00C34D92" w:rsidRPr="00684332" w:rsidRDefault="00861662" w:rsidP="00621393">
      <w:pPr>
        <w:ind w:firstLine="0"/>
        <w:rPr>
          <w:sz w:val="20"/>
          <w:szCs w:val="20"/>
        </w:rPr>
      </w:pPr>
      <w:r w:rsidRPr="007725E8">
        <w:t>Pierwszą obserwacją, którą można poczynić, jest fakt, że spośród sześciu kategorii produktów dwie są skierowane wprost do kobiet (makijaż i perfumy, produkty do kąpieli i pielęgnacji skóry), a tylko jedna</w:t>
      </w:r>
      <w:r w:rsidR="00330407">
        <w:t xml:space="preserve"> bezpośrednio</w:t>
      </w:r>
      <w:r w:rsidRPr="007725E8">
        <w:t xml:space="preserve"> odnosi się do mężczyzn. Co więcej, spośród analizowanego korpusu 2335 słów,</w:t>
      </w:r>
      <w:r w:rsidR="004B00C9">
        <w:t xml:space="preserve"> </w:t>
      </w:r>
      <w:r w:rsidRPr="007725E8">
        <w:t xml:space="preserve">1650 słów (70,66%) znajduje się w kategoriach skierowanych do </w:t>
      </w:r>
      <w:r w:rsidR="00330407">
        <w:t>kobiet</w:t>
      </w:r>
      <w:r w:rsidR="00610C9E">
        <w:t xml:space="preserve"> – podczas gdy można by się spodziewać, że dwie z trzech części będą objętościowo zajmować </w:t>
      </w:r>
      <w:r w:rsidR="00610C9E">
        <w:lastRenderedPageBreak/>
        <w:t>2/3 badanego tekstu.</w:t>
      </w:r>
      <w:r w:rsidR="00610C9E" w:rsidRPr="007725E8" w:rsidDel="00610C9E">
        <w:t xml:space="preserve"> </w:t>
      </w:r>
      <w:r w:rsidRPr="007725E8">
        <w:t xml:space="preserve">Chi-kwadrat wynosi 16,672, zatem różnica między wartością obserwowaną a spodziewaną jest istotna statystycznie dla p&lt;0,0001. Na tej podstawie można wnioskować, że w katalogu skoncentrowano się na produktach dla kobiet. Przy analizie jakościowej warto zwrócić uwagę na fakt, że kategoria kierowana do mężczyzn zawiera słowo mężczyźni (ang. </w:t>
      </w:r>
      <w:proofErr w:type="spellStart"/>
      <w:r w:rsidRPr="007725E8">
        <w:rPr>
          <w:i/>
          <w:iCs/>
        </w:rPr>
        <w:t>male</w:t>
      </w:r>
      <w:proofErr w:type="spellEnd"/>
      <w:r w:rsidRPr="007725E8">
        <w:t>) w nagłówku, a pozostałe dwie kategorie, skierowane do kobiet, nie zawierają analogicznego elementu. W ten sposób kosmetyka</w:t>
      </w:r>
      <w:r w:rsidR="00B26757">
        <w:t xml:space="preserve"> jako dziedzina</w:t>
      </w:r>
      <w:r w:rsidRPr="007725E8">
        <w:t xml:space="preserve"> jest konstruowana jako obszar normatywnie kobiecy.</w:t>
      </w:r>
    </w:p>
    <w:p w14:paraId="06EC8098" w14:textId="62647912" w:rsidR="00C34D92" w:rsidRPr="005D2BAF" w:rsidRDefault="00861662" w:rsidP="0086691D">
      <w:pPr>
        <w:rPr>
          <w:sz w:val="20"/>
          <w:szCs w:val="20"/>
        </w:rPr>
      </w:pPr>
      <w:r w:rsidRPr="007725E8">
        <w:t xml:space="preserve">W celu uzyskania szerokiego przeglądu leksyki </w:t>
      </w:r>
      <w:r w:rsidR="00636345">
        <w:t>z</w:t>
      </w:r>
      <w:r w:rsidRPr="007725E8">
        <w:t xml:space="preserve">wiązanej z kategorią płci, wygenerowano listy frekwencyjne dla kategorii produktów kobiecych i męskich za pomocą </w:t>
      </w:r>
      <w:proofErr w:type="spellStart"/>
      <w:r w:rsidRPr="007725E8">
        <w:t>Wordsmith</w:t>
      </w:r>
      <w:proofErr w:type="spellEnd"/>
      <w:r w:rsidRPr="007725E8">
        <w:t xml:space="preserve"> Tools 5.0. Następujące dwie listy zawierają wszystkie słowa, które stanowiły więcej niż 0,3% badanego korpusu, w kolejności alfabetycznej i według częstotliwości występowania. Podkreśleniem zaznaczono wyrazy, które pojawiały się tylko w jednej z dwóch kategorii – nie brano przy tym pod uwagę różnic między klasami wyrazów, zatem </w:t>
      </w:r>
      <w:r w:rsidR="00E72A93">
        <w:t>„</w:t>
      </w:r>
      <w:proofErr w:type="spellStart"/>
      <w:r w:rsidRPr="007725E8">
        <w:t>choose</w:t>
      </w:r>
      <w:proofErr w:type="spellEnd"/>
      <w:r w:rsidR="00E72A93">
        <w:t>”</w:t>
      </w:r>
      <w:r w:rsidRPr="007725E8">
        <w:t xml:space="preserve"> [wybrać] i </w:t>
      </w:r>
      <w:r w:rsidR="00E72A93">
        <w:t>„</w:t>
      </w:r>
      <w:r w:rsidRPr="007725E8">
        <w:t>choice</w:t>
      </w:r>
      <w:r w:rsidR="00E72A93">
        <w:t>”</w:t>
      </w:r>
      <w:r w:rsidRPr="007725E8">
        <w:t xml:space="preserve"> [wybór] nie zostały uznane za występujące tylko w jednej kategorii.</w:t>
      </w:r>
    </w:p>
    <w:p w14:paraId="0ABD435A" w14:textId="6424F452" w:rsidR="00C34D92" w:rsidRPr="007725E8" w:rsidRDefault="002709AD" w:rsidP="0086691D">
      <w:pPr>
        <w:rPr>
          <w:sz w:val="20"/>
          <w:szCs w:val="20"/>
        </w:rPr>
      </w:pPr>
      <w:r>
        <w:rPr>
          <w:b/>
          <w:bCs/>
        </w:rPr>
        <w:t>K</w:t>
      </w:r>
      <w:r w:rsidR="00861662" w:rsidRPr="007725E8">
        <w:rPr>
          <w:b/>
          <w:bCs/>
        </w:rPr>
        <w:t>ategorie kobiece</w:t>
      </w:r>
      <w:r w:rsidR="00861662" w:rsidRPr="007725E8">
        <w:t xml:space="preserve">: body, </w:t>
      </w:r>
      <w:proofErr w:type="spellStart"/>
      <w:r w:rsidR="00861662" w:rsidRPr="007725E8">
        <w:t>gift</w:t>
      </w:r>
      <w:proofErr w:type="spellEnd"/>
      <w:r w:rsidR="00861662" w:rsidRPr="007725E8">
        <w:t xml:space="preserve">(s), </w:t>
      </w:r>
      <w:proofErr w:type="spellStart"/>
      <w:r w:rsidR="00861662" w:rsidRPr="007725E8">
        <w:t>Christmas</w:t>
      </w:r>
      <w:proofErr w:type="spellEnd"/>
      <w:r w:rsidR="00861662" w:rsidRPr="007725E8">
        <w:t xml:space="preserve">, </w:t>
      </w:r>
      <w:proofErr w:type="spellStart"/>
      <w:r w:rsidR="00861662" w:rsidRPr="007725E8">
        <w:rPr>
          <w:u w:val="single"/>
        </w:rPr>
        <w:t>beauty</w:t>
      </w:r>
      <w:proofErr w:type="spellEnd"/>
      <w:r w:rsidR="00861662" w:rsidRPr="007725E8">
        <w:rPr>
          <w:u w:val="single"/>
        </w:rPr>
        <w:t>/</w:t>
      </w:r>
      <w:proofErr w:type="spellStart"/>
      <w:r w:rsidR="00861662" w:rsidRPr="007725E8">
        <w:rPr>
          <w:u w:val="single"/>
        </w:rPr>
        <w:t>beautiful</w:t>
      </w:r>
      <w:proofErr w:type="spellEnd"/>
      <w:r w:rsidR="00861662" w:rsidRPr="007725E8">
        <w:t xml:space="preserve">, set(s), </w:t>
      </w:r>
      <w:proofErr w:type="spellStart"/>
      <w:r w:rsidR="00861662" w:rsidRPr="007725E8">
        <w:t>eau</w:t>
      </w:r>
      <w:proofErr w:type="spellEnd"/>
      <w:r w:rsidR="00861662" w:rsidRPr="007725E8">
        <w:t xml:space="preserve">, </w:t>
      </w:r>
      <w:proofErr w:type="spellStart"/>
      <w:r w:rsidR="00861662" w:rsidRPr="007725E8">
        <w:t>perfect</w:t>
      </w:r>
      <w:proofErr w:type="spellEnd"/>
      <w:r w:rsidR="00861662" w:rsidRPr="007725E8">
        <w:t>,</w:t>
      </w:r>
      <w:r w:rsidR="00861662" w:rsidRPr="007725E8">
        <w:rPr>
          <w:u w:val="single"/>
        </w:rPr>
        <w:t xml:space="preserve"> </w:t>
      </w:r>
      <w:proofErr w:type="spellStart"/>
      <w:r w:rsidR="00861662" w:rsidRPr="007725E8">
        <w:rPr>
          <w:u w:val="single"/>
        </w:rPr>
        <w:t>collection</w:t>
      </w:r>
      <w:proofErr w:type="spellEnd"/>
      <w:r w:rsidR="00861662" w:rsidRPr="007725E8">
        <w:t xml:space="preserve">, </w:t>
      </w:r>
      <w:proofErr w:type="spellStart"/>
      <w:r w:rsidR="00861662" w:rsidRPr="007725E8">
        <w:rPr>
          <w:u w:val="single"/>
        </w:rPr>
        <w:t>parfum</w:t>
      </w:r>
      <w:proofErr w:type="spellEnd"/>
      <w:r w:rsidR="00861662" w:rsidRPr="007725E8">
        <w:t xml:space="preserve">, products, </w:t>
      </w:r>
      <w:proofErr w:type="spellStart"/>
      <w:r w:rsidR="00861662" w:rsidRPr="007725E8">
        <w:t>range</w:t>
      </w:r>
      <w:proofErr w:type="spellEnd"/>
      <w:r w:rsidR="00861662" w:rsidRPr="007725E8">
        <w:t xml:space="preserve">, </w:t>
      </w:r>
      <w:proofErr w:type="spellStart"/>
      <w:r w:rsidR="00861662" w:rsidRPr="007725E8">
        <w:t>day</w:t>
      </w:r>
      <w:proofErr w:type="spellEnd"/>
      <w:r w:rsidR="00861662" w:rsidRPr="007725E8">
        <w:t xml:space="preserve">, </w:t>
      </w:r>
      <w:r w:rsidR="00861662" w:rsidRPr="007725E8">
        <w:rPr>
          <w:u w:val="single"/>
        </w:rPr>
        <w:t>girls</w:t>
      </w:r>
      <w:r w:rsidR="00861662" w:rsidRPr="007725E8">
        <w:t xml:space="preserve">, </w:t>
      </w:r>
      <w:proofErr w:type="spellStart"/>
      <w:r w:rsidR="00861662" w:rsidRPr="007725E8">
        <w:rPr>
          <w:u w:val="single"/>
        </w:rPr>
        <w:t>gorgeous</w:t>
      </w:r>
      <w:proofErr w:type="spellEnd"/>
      <w:r w:rsidR="00861662" w:rsidRPr="007725E8">
        <w:t xml:space="preserve">, love, style, </w:t>
      </w:r>
      <w:proofErr w:type="spellStart"/>
      <w:r w:rsidR="00861662" w:rsidRPr="007725E8">
        <w:rPr>
          <w:u w:val="single"/>
        </w:rPr>
        <w:t>includes</w:t>
      </w:r>
      <w:proofErr w:type="spellEnd"/>
      <w:r w:rsidR="00861662" w:rsidRPr="007725E8">
        <w:t>,</w:t>
      </w:r>
      <w:r w:rsidR="00861662" w:rsidRPr="007725E8">
        <w:rPr>
          <w:u w:val="single"/>
        </w:rPr>
        <w:t xml:space="preserve"> list</w:t>
      </w:r>
      <w:r w:rsidR="00861662" w:rsidRPr="007725E8">
        <w:t xml:space="preserve">, </w:t>
      </w:r>
      <w:proofErr w:type="spellStart"/>
      <w:r w:rsidR="00861662" w:rsidRPr="007725E8">
        <w:rPr>
          <w:u w:val="single"/>
        </w:rPr>
        <w:t>luxurious</w:t>
      </w:r>
      <w:proofErr w:type="spellEnd"/>
      <w:r w:rsidR="00861662" w:rsidRPr="007725E8">
        <w:t xml:space="preserve">, </w:t>
      </w:r>
      <w:proofErr w:type="spellStart"/>
      <w:r w:rsidR="00861662" w:rsidRPr="007725E8">
        <w:t>make</w:t>
      </w:r>
      <w:proofErr w:type="spellEnd"/>
      <w:r w:rsidR="00861662" w:rsidRPr="007725E8">
        <w:t>/</w:t>
      </w:r>
      <w:proofErr w:type="spellStart"/>
      <w:r w:rsidR="00861662" w:rsidRPr="007725E8">
        <w:t>made</w:t>
      </w:r>
      <w:proofErr w:type="spellEnd"/>
      <w:r w:rsidR="00861662" w:rsidRPr="007725E8">
        <w:t xml:space="preserve">, </w:t>
      </w:r>
      <w:r w:rsidR="00861662" w:rsidRPr="007725E8">
        <w:rPr>
          <w:u w:val="single"/>
        </w:rPr>
        <w:t>most</w:t>
      </w:r>
      <w:r w:rsidR="00861662" w:rsidRPr="007725E8">
        <w:t xml:space="preserve">, </w:t>
      </w:r>
      <w:proofErr w:type="spellStart"/>
      <w:r w:rsidR="00861662" w:rsidRPr="007725E8">
        <w:t>best</w:t>
      </w:r>
      <w:proofErr w:type="spellEnd"/>
      <w:r w:rsidR="00861662" w:rsidRPr="007725E8">
        <w:t xml:space="preserve">, </w:t>
      </w:r>
      <w:proofErr w:type="spellStart"/>
      <w:r w:rsidR="00861662" w:rsidRPr="007725E8">
        <w:rPr>
          <w:u w:val="single"/>
        </w:rPr>
        <w:t>chic</w:t>
      </w:r>
      <w:proofErr w:type="spellEnd"/>
      <w:r w:rsidR="00861662" w:rsidRPr="007725E8">
        <w:t xml:space="preserve">, </w:t>
      </w:r>
      <w:proofErr w:type="spellStart"/>
      <w:r w:rsidR="00861662" w:rsidRPr="007725E8">
        <w:t>choose</w:t>
      </w:r>
      <w:proofErr w:type="spellEnd"/>
      <w:r w:rsidR="00861662" w:rsidRPr="007725E8">
        <w:t xml:space="preserve">, </w:t>
      </w:r>
      <w:r w:rsidR="00861662" w:rsidRPr="007725E8">
        <w:rPr>
          <w:u w:val="single"/>
        </w:rPr>
        <w:t>go</w:t>
      </w:r>
      <w:r w:rsidR="00861662" w:rsidRPr="007725E8">
        <w:t xml:space="preserve">, </w:t>
      </w:r>
      <w:proofErr w:type="spellStart"/>
      <w:r w:rsidR="00861662" w:rsidRPr="007725E8">
        <w:rPr>
          <w:u w:val="single"/>
        </w:rPr>
        <w:t>look</w:t>
      </w:r>
      <w:proofErr w:type="spellEnd"/>
      <w:r w:rsidR="00861662" w:rsidRPr="007725E8">
        <w:t xml:space="preserve">, </w:t>
      </w:r>
      <w:r w:rsidR="00861662" w:rsidRPr="007725E8">
        <w:rPr>
          <w:u w:val="single"/>
        </w:rPr>
        <w:t>lotion</w:t>
      </w:r>
      <w:r w:rsidR="00861662" w:rsidRPr="007725E8">
        <w:t>,</w:t>
      </w:r>
      <w:r w:rsidR="00861662" w:rsidRPr="007725E8">
        <w:rPr>
          <w:u w:val="single"/>
        </w:rPr>
        <w:t xml:space="preserve"> </w:t>
      </w:r>
      <w:proofErr w:type="spellStart"/>
      <w:r w:rsidR="00861662" w:rsidRPr="007725E8">
        <w:rPr>
          <w:u w:val="single"/>
        </w:rPr>
        <w:t>pampering</w:t>
      </w:r>
      <w:proofErr w:type="spellEnd"/>
      <w:r w:rsidR="00E72A93" w:rsidRPr="007725E8">
        <w:t xml:space="preserve"> [ciało, </w:t>
      </w:r>
      <w:r w:rsidR="00B26757">
        <w:t>prezent(y)</w:t>
      </w:r>
      <w:r w:rsidR="00E72A93" w:rsidRPr="007725E8">
        <w:t xml:space="preserve">, Boże Narodzenie, </w:t>
      </w:r>
      <w:r w:rsidR="00E72A93" w:rsidRPr="007725E8">
        <w:rPr>
          <w:u w:val="single"/>
        </w:rPr>
        <w:t>piękno</w:t>
      </w:r>
      <w:r w:rsidR="00E72A93" w:rsidRPr="007725E8">
        <w:t xml:space="preserve">, zestaw, </w:t>
      </w:r>
      <w:r w:rsidR="00B26757">
        <w:t>woda perfumowana</w:t>
      </w:r>
      <w:r w:rsidR="00E72A93" w:rsidRPr="007725E8">
        <w:t xml:space="preserve">, idealny, </w:t>
      </w:r>
      <w:r w:rsidR="00E72A93" w:rsidRPr="007725E8">
        <w:rPr>
          <w:u w:val="single"/>
        </w:rPr>
        <w:t>kolekcja</w:t>
      </w:r>
      <w:r w:rsidR="00E72A93" w:rsidRPr="007725E8">
        <w:t xml:space="preserve">, </w:t>
      </w:r>
      <w:r w:rsidR="00E72A93" w:rsidRPr="007725E8">
        <w:rPr>
          <w:u w:val="single"/>
        </w:rPr>
        <w:t>zapach</w:t>
      </w:r>
      <w:r w:rsidR="00E72A93" w:rsidRPr="007725E8">
        <w:t xml:space="preserve">, produkty, gama, dzień, </w:t>
      </w:r>
      <w:r w:rsidR="00E72A93" w:rsidRPr="007725E8">
        <w:rPr>
          <w:u w:val="single"/>
        </w:rPr>
        <w:t>dziewczyny</w:t>
      </w:r>
      <w:r w:rsidR="00E72A93" w:rsidRPr="007725E8">
        <w:t xml:space="preserve">, </w:t>
      </w:r>
      <w:r w:rsidR="00E72A93" w:rsidRPr="007725E8">
        <w:rPr>
          <w:u w:val="single"/>
        </w:rPr>
        <w:t>śliczny</w:t>
      </w:r>
      <w:r w:rsidR="00E72A93" w:rsidRPr="007725E8">
        <w:t xml:space="preserve">, miłość, styl, </w:t>
      </w:r>
      <w:r w:rsidR="00E72A93" w:rsidRPr="007725E8">
        <w:rPr>
          <w:u w:val="single"/>
        </w:rPr>
        <w:t>zawiera</w:t>
      </w:r>
      <w:r w:rsidR="00E72A93" w:rsidRPr="007725E8">
        <w:t xml:space="preserve">, </w:t>
      </w:r>
      <w:r w:rsidR="00E72A93" w:rsidRPr="007725E8">
        <w:rPr>
          <w:u w:val="single"/>
        </w:rPr>
        <w:t>lista</w:t>
      </w:r>
      <w:r w:rsidR="00E72A93" w:rsidRPr="007725E8">
        <w:t xml:space="preserve">, </w:t>
      </w:r>
      <w:r w:rsidR="00E72A93" w:rsidRPr="007725E8">
        <w:rPr>
          <w:u w:val="single"/>
        </w:rPr>
        <w:t>luksusowe</w:t>
      </w:r>
      <w:r w:rsidR="00E72A93" w:rsidRPr="007725E8">
        <w:t xml:space="preserve">, stwarza, </w:t>
      </w:r>
      <w:r w:rsidR="00E72A93" w:rsidRPr="007725E8">
        <w:rPr>
          <w:u w:val="single"/>
        </w:rPr>
        <w:t>najbardziej</w:t>
      </w:r>
      <w:r w:rsidR="00E72A93" w:rsidRPr="007725E8">
        <w:t xml:space="preserve">, najlepszy, </w:t>
      </w:r>
      <w:r w:rsidR="00E72A93" w:rsidRPr="007725E8">
        <w:rPr>
          <w:u w:val="single"/>
        </w:rPr>
        <w:t>szykowny</w:t>
      </w:r>
      <w:r w:rsidR="00E72A93" w:rsidRPr="007725E8">
        <w:t xml:space="preserve">, wybierać, </w:t>
      </w:r>
      <w:r w:rsidR="00E72A93" w:rsidRPr="007725E8">
        <w:rPr>
          <w:u w:val="single"/>
        </w:rPr>
        <w:t>iść</w:t>
      </w:r>
      <w:r w:rsidR="00E72A93" w:rsidRPr="007725E8">
        <w:t xml:space="preserve">, </w:t>
      </w:r>
      <w:r w:rsidR="00E72A93" w:rsidRPr="007725E8">
        <w:rPr>
          <w:u w:val="single"/>
        </w:rPr>
        <w:t>wygląd</w:t>
      </w:r>
      <w:r w:rsidR="00E72A93" w:rsidRPr="007725E8">
        <w:t xml:space="preserve">, </w:t>
      </w:r>
      <w:r w:rsidR="00E72A93" w:rsidRPr="007725E8">
        <w:rPr>
          <w:u w:val="single"/>
        </w:rPr>
        <w:t>balsam</w:t>
      </w:r>
      <w:r w:rsidR="00E72A93" w:rsidRPr="007725E8">
        <w:t xml:space="preserve">, </w:t>
      </w:r>
      <w:r w:rsidR="00E72A93" w:rsidRPr="007725E8">
        <w:rPr>
          <w:u w:val="single"/>
        </w:rPr>
        <w:t>odprężenie</w:t>
      </w:r>
      <w:r w:rsidR="00E72A93" w:rsidRPr="007725E8">
        <w:t>]</w:t>
      </w:r>
    </w:p>
    <w:p w14:paraId="19CD7D35" w14:textId="78AB3678" w:rsidR="00C34D92" w:rsidRPr="007725E8" w:rsidRDefault="00861662" w:rsidP="0086691D">
      <w:pPr>
        <w:rPr>
          <w:sz w:val="20"/>
          <w:szCs w:val="20"/>
        </w:rPr>
      </w:pPr>
      <w:r w:rsidRPr="007725E8">
        <w:rPr>
          <w:b/>
          <w:bCs/>
        </w:rPr>
        <w:t>kategorie męskie</w:t>
      </w:r>
      <w:r w:rsidRPr="007725E8">
        <w:t xml:space="preserve">: </w:t>
      </w:r>
      <w:proofErr w:type="spellStart"/>
      <w:r w:rsidRPr="007725E8">
        <w:rPr>
          <w:u w:val="single"/>
        </w:rPr>
        <w:t>man</w:t>
      </w:r>
      <w:proofErr w:type="spellEnd"/>
      <w:r w:rsidRPr="007725E8">
        <w:rPr>
          <w:u w:val="single"/>
        </w:rPr>
        <w:t>/men</w:t>
      </w:r>
      <w:r w:rsidRPr="007725E8">
        <w:t xml:space="preserve">, body, </w:t>
      </w:r>
      <w:proofErr w:type="spellStart"/>
      <w:r w:rsidRPr="007725E8">
        <w:t>gift</w:t>
      </w:r>
      <w:proofErr w:type="spellEnd"/>
      <w:r w:rsidRPr="007725E8">
        <w:t xml:space="preserve">(s), </w:t>
      </w:r>
      <w:r w:rsidRPr="007725E8">
        <w:rPr>
          <w:u w:val="single"/>
        </w:rPr>
        <w:t>grooming</w:t>
      </w:r>
      <w:r w:rsidRPr="007725E8">
        <w:t xml:space="preserve">, </w:t>
      </w:r>
      <w:proofErr w:type="spellStart"/>
      <w:r w:rsidRPr="007725E8">
        <w:t>Christmas</w:t>
      </w:r>
      <w:proofErr w:type="spellEnd"/>
      <w:r w:rsidRPr="007725E8">
        <w:t xml:space="preserve">, </w:t>
      </w:r>
      <w:proofErr w:type="spellStart"/>
      <w:r w:rsidRPr="007725E8">
        <w:rPr>
          <w:u w:val="single"/>
        </w:rPr>
        <w:t>shave</w:t>
      </w:r>
      <w:proofErr w:type="spellEnd"/>
      <w:r w:rsidRPr="007725E8">
        <w:rPr>
          <w:u w:val="single"/>
        </w:rPr>
        <w:t>/</w:t>
      </w:r>
      <w:proofErr w:type="spellStart"/>
      <w:r w:rsidRPr="007725E8">
        <w:rPr>
          <w:u w:val="single"/>
        </w:rPr>
        <w:t>shaving</w:t>
      </w:r>
      <w:proofErr w:type="spellEnd"/>
      <w:r w:rsidRPr="007725E8">
        <w:t xml:space="preserve">, </w:t>
      </w:r>
      <w:proofErr w:type="spellStart"/>
      <w:r w:rsidR="00EF5E52">
        <w:t>eau</w:t>
      </w:r>
      <w:proofErr w:type="spellEnd"/>
      <w:r w:rsidR="00EF5E52">
        <w:t>,</w:t>
      </w:r>
      <w:r w:rsidRPr="007725E8">
        <w:t xml:space="preserve"> </w:t>
      </w:r>
      <w:proofErr w:type="spellStart"/>
      <w:r w:rsidRPr="007725E8">
        <w:rPr>
          <w:u w:val="single"/>
        </w:rPr>
        <w:t>hair</w:t>
      </w:r>
      <w:proofErr w:type="spellEnd"/>
      <w:r w:rsidRPr="007725E8">
        <w:t xml:space="preserve">, </w:t>
      </w:r>
      <w:proofErr w:type="spellStart"/>
      <w:r w:rsidRPr="007725E8">
        <w:t>make</w:t>
      </w:r>
      <w:proofErr w:type="spellEnd"/>
      <w:r w:rsidRPr="007725E8">
        <w:t xml:space="preserve">, </w:t>
      </w:r>
      <w:r w:rsidRPr="007725E8">
        <w:rPr>
          <w:u w:val="single"/>
        </w:rPr>
        <w:t>set</w:t>
      </w:r>
      <w:r w:rsidRPr="007725E8">
        <w:t xml:space="preserve">, </w:t>
      </w:r>
      <w:proofErr w:type="spellStart"/>
      <w:r w:rsidRPr="007725E8">
        <w:rPr>
          <w:u w:val="single"/>
        </w:rPr>
        <w:t>cool</w:t>
      </w:r>
      <w:proofErr w:type="spellEnd"/>
      <w:r w:rsidRPr="007725E8">
        <w:t xml:space="preserve">, </w:t>
      </w:r>
      <w:proofErr w:type="spellStart"/>
      <w:r w:rsidRPr="007725E8">
        <w:rPr>
          <w:u w:val="single"/>
        </w:rPr>
        <w:t>gel</w:t>
      </w:r>
      <w:proofErr w:type="spellEnd"/>
      <w:r w:rsidRPr="007725E8">
        <w:t xml:space="preserve">, love, </w:t>
      </w:r>
      <w:proofErr w:type="spellStart"/>
      <w:r w:rsidRPr="007725E8">
        <w:rPr>
          <w:u w:val="single"/>
        </w:rPr>
        <w:t>toilette</w:t>
      </w:r>
      <w:proofErr w:type="spellEnd"/>
      <w:r w:rsidRPr="007725E8">
        <w:t xml:space="preserve">, </w:t>
      </w:r>
      <w:proofErr w:type="spellStart"/>
      <w:r w:rsidRPr="007725E8">
        <w:rPr>
          <w:u w:val="single"/>
        </w:rPr>
        <w:t>treat</w:t>
      </w:r>
      <w:proofErr w:type="spellEnd"/>
      <w:r w:rsidRPr="007725E8">
        <w:t xml:space="preserve">, </w:t>
      </w:r>
      <w:proofErr w:type="spellStart"/>
      <w:r w:rsidRPr="007725E8">
        <w:rPr>
          <w:u w:val="single"/>
        </w:rPr>
        <w:t>balm</w:t>
      </w:r>
      <w:proofErr w:type="spellEnd"/>
      <w:r w:rsidRPr="007725E8">
        <w:t xml:space="preserve">, </w:t>
      </w:r>
      <w:proofErr w:type="spellStart"/>
      <w:r w:rsidRPr="007725E8">
        <w:rPr>
          <w:u w:val="single"/>
        </w:rPr>
        <w:t>bathroom</w:t>
      </w:r>
      <w:proofErr w:type="spellEnd"/>
      <w:r w:rsidRPr="007725E8">
        <w:t xml:space="preserve">, </w:t>
      </w:r>
      <w:proofErr w:type="spellStart"/>
      <w:r w:rsidRPr="007725E8">
        <w:t>best</w:t>
      </w:r>
      <w:proofErr w:type="spellEnd"/>
      <w:r w:rsidRPr="007725E8">
        <w:t xml:space="preserve">, </w:t>
      </w:r>
      <w:proofErr w:type="spellStart"/>
      <w:r w:rsidRPr="007725E8">
        <w:rPr>
          <w:u w:val="single"/>
        </w:rPr>
        <w:t>boys</w:t>
      </w:r>
      <w:proofErr w:type="spellEnd"/>
      <w:r w:rsidRPr="007725E8">
        <w:t xml:space="preserve">, choice, </w:t>
      </w:r>
      <w:proofErr w:type="spellStart"/>
      <w:r w:rsidRPr="007725E8">
        <w:t>day</w:t>
      </w:r>
      <w:proofErr w:type="spellEnd"/>
      <w:r w:rsidRPr="007725E8">
        <w:t xml:space="preserve">, </w:t>
      </w:r>
      <w:proofErr w:type="spellStart"/>
      <w:r w:rsidRPr="007725E8">
        <w:rPr>
          <w:u w:val="single"/>
        </w:rPr>
        <w:t>full</w:t>
      </w:r>
      <w:proofErr w:type="spellEnd"/>
      <w:r w:rsidRPr="007725E8">
        <w:t xml:space="preserve">, </w:t>
      </w:r>
      <w:proofErr w:type="spellStart"/>
      <w:r w:rsidRPr="007725E8">
        <w:rPr>
          <w:u w:val="single"/>
        </w:rPr>
        <w:t>fun</w:t>
      </w:r>
      <w:proofErr w:type="spellEnd"/>
      <w:r w:rsidRPr="007725E8">
        <w:t xml:space="preserve">, </w:t>
      </w:r>
      <w:proofErr w:type="spellStart"/>
      <w:r w:rsidRPr="007725E8">
        <w:rPr>
          <w:u w:val="single"/>
        </w:rPr>
        <w:t>ideas</w:t>
      </w:r>
      <w:proofErr w:type="spellEnd"/>
      <w:r w:rsidRPr="007725E8">
        <w:t xml:space="preserve">, </w:t>
      </w:r>
      <w:r w:rsidRPr="007725E8">
        <w:rPr>
          <w:u w:val="single"/>
        </w:rPr>
        <w:t>life</w:t>
      </w:r>
      <w:r w:rsidRPr="007725E8">
        <w:t xml:space="preserve">, </w:t>
      </w:r>
      <w:proofErr w:type="spellStart"/>
      <w:r w:rsidRPr="007725E8">
        <w:rPr>
          <w:u w:val="single"/>
        </w:rPr>
        <w:t>little</w:t>
      </w:r>
      <w:proofErr w:type="spellEnd"/>
      <w:r w:rsidRPr="007725E8">
        <w:t xml:space="preserve">, </w:t>
      </w:r>
      <w:proofErr w:type="spellStart"/>
      <w:r w:rsidRPr="007725E8">
        <w:t>perfect</w:t>
      </w:r>
      <w:proofErr w:type="spellEnd"/>
      <w:r w:rsidRPr="007725E8">
        <w:t xml:space="preserve">, products, </w:t>
      </w:r>
      <w:proofErr w:type="spellStart"/>
      <w:r w:rsidRPr="007725E8">
        <w:t>range</w:t>
      </w:r>
      <w:proofErr w:type="spellEnd"/>
      <w:r w:rsidRPr="007725E8">
        <w:t xml:space="preserve">, </w:t>
      </w:r>
      <w:proofErr w:type="spellStart"/>
      <w:r w:rsidRPr="007725E8">
        <w:rPr>
          <w:u w:val="single"/>
        </w:rPr>
        <w:t>refreshing</w:t>
      </w:r>
      <w:proofErr w:type="spellEnd"/>
      <w:r w:rsidRPr="007725E8">
        <w:t xml:space="preserve">, </w:t>
      </w:r>
      <w:proofErr w:type="spellStart"/>
      <w:r w:rsidRPr="007725E8">
        <w:rPr>
          <w:u w:val="single"/>
        </w:rPr>
        <w:t>shower</w:t>
      </w:r>
      <w:proofErr w:type="spellEnd"/>
      <w:r w:rsidRPr="007725E8">
        <w:t>,</w:t>
      </w:r>
      <w:r w:rsidRPr="007725E8">
        <w:rPr>
          <w:u w:val="single"/>
        </w:rPr>
        <w:t xml:space="preserve"> </w:t>
      </w:r>
      <w:proofErr w:type="spellStart"/>
      <w:r w:rsidRPr="007725E8">
        <w:rPr>
          <w:u w:val="single"/>
        </w:rPr>
        <w:t>skincare</w:t>
      </w:r>
      <w:proofErr w:type="spellEnd"/>
      <w:r w:rsidRPr="007725E8">
        <w:t xml:space="preserve">, style, </w:t>
      </w:r>
      <w:proofErr w:type="spellStart"/>
      <w:r w:rsidRPr="007725E8">
        <w:rPr>
          <w:u w:val="single"/>
        </w:rPr>
        <w:t>wash</w:t>
      </w:r>
      <w:proofErr w:type="spellEnd"/>
      <w:r w:rsidRPr="007725E8">
        <w:rPr>
          <w:u w:val="single"/>
        </w:rPr>
        <w:t>(</w:t>
      </w:r>
      <w:proofErr w:type="spellStart"/>
      <w:r w:rsidRPr="007725E8">
        <w:rPr>
          <w:u w:val="single"/>
        </w:rPr>
        <w:t>bag</w:t>
      </w:r>
      <w:proofErr w:type="spellEnd"/>
      <w:r w:rsidRPr="007725E8">
        <w:rPr>
          <w:u w:val="single"/>
        </w:rPr>
        <w:t>)</w:t>
      </w:r>
      <w:r w:rsidR="00E72A93" w:rsidRPr="007725E8">
        <w:t xml:space="preserve"> [</w:t>
      </w:r>
      <w:r w:rsidR="00E72A93" w:rsidRPr="007725E8">
        <w:rPr>
          <w:u w:val="single"/>
        </w:rPr>
        <w:t>mężczyzna</w:t>
      </w:r>
      <w:r w:rsidR="00E72A93" w:rsidRPr="007725E8">
        <w:t xml:space="preserve">, ciało, </w:t>
      </w:r>
      <w:r w:rsidR="00B26757">
        <w:t>prezent(y)</w:t>
      </w:r>
      <w:r w:rsidR="00E72A93" w:rsidRPr="007725E8">
        <w:t xml:space="preserve">, </w:t>
      </w:r>
      <w:r w:rsidR="00E72A93" w:rsidRPr="007725E8">
        <w:rPr>
          <w:u w:val="single"/>
        </w:rPr>
        <w:t>pielęgnacja</w:t>
      </w:r>
      <w:r w:rsidR="00E72A93" w:rsidRPr="007725E8">
        <w:t xml:space="preserve">, Boże Narodzenie, </w:t>
      </w:r>
      <w:r w:rsidR="00E72A93" w:rsidRPr="007725E8">
        <w:rPr>
          <w:u w:val="single"/>
        </w:rPr>
        <w:t>golenie</w:t>
      </w:r>
      <w:r w:rsidR="00E72A93" w:rsidRPr="007725E8">
        <w:t xml:space="preserve">, </w:t>
      </w:r>
      <w:r w:rsidR="002709AD">
        <w:t>woda perfumowana</w:t>
      </w:r>
      <w:r w:rsidR="00E72A93" w:rsidRPr="007725E8">
        <w:t xml:space="preserve">, </w:t>
      </w:r>
      <w:r w:rsidR="00E72A93" w:rsidRPr="007725E8">
        <w:rPr>
          <w:u w:val="single"/>
        </w:rPr>
        <w:t>włosy</w:t>
      </w:r>
      <w:r w:rsidR="00E72A93" w:rsidRPr="007725E8">
        <w:t xml:space="preserve">, stwarzać, </w:t>
      </w:r>
      <w:r w:rsidR="00E72A93" w:rsidRPr="007725E8">
        <w:rPr>
          <w:u w:val="single"/>
        </w:rPr>
        <w:t>zestaw</w:t>
      </w:r>
      <w:r w:rsidR="00E72A93" w:rsidRPr="007725E8">
        <w:t xml:space="preserve">, </w:t>
      </w:r>
      <w:r w:rsidR="00E72A93" w:rsidRPr="007725E8">
        <w:rPr>
          <w:u w:val="single"/>
        </w:rPr>
        <w:t>fajny/chłodny</w:t>
      </w:r>
      <w:r w:rsidR="00E72A93" w:rsidRPr="007725E8">
        <w:t xml:space="preserve">, </w:t>
      </w:r>
      <w:r w:rsidR="00E72A93" w:rsidRPr="007725E8">
        <w:rPr>
          <w:u w:val="single"/>
        </w:rPr>
        <w:t>żel</w:t>
      </w:r>
      <w:r w:rsidR="00E72A93" w:rsidRPr="007725E8">
        <w:t xml:space="preserve">, miłość, </w:t>
      </w:r>
      <w:r w:rsidR="00E72A93" w:rsidRPr="007725E8">
        <w:rPr>
          <w:u w:val="single"/>
        </w:rPr>
        <w:t>to</w:t>
      </w:r>
      <w:r w:rsidR="00EF5E52">
        <w:rPr>
          <w:u w:val="single"/>
        </w:rPr>
        <w:t>aleta</w:t>
      </w:r>
      <w:r w:rsidR="00E72A93" w:rsidRPr="007725E8">
        <w:t xml:space="preserve">, </w:t>
      </w:r>
      <w:r w:rsidR="00E72A93" w:rsidRPr="007725E8">
        <w:rPr>
          <w:u w:val="single"/>
        </w:rPr>
        <w:t>przyjemność</w:t>
      </w:r>
      <w:r w:rsidR="00E72A93" w:rsidRPr="007725E8">
        <w:t xml:space="preserve">, </w:t>
      </w:r>
      <w:r w:rsidR="00E72A93" w:rsidRPr="007725E8">
        <w:rPr>
          <w:u w:val="single"/>
        </w:rPr>
        <w:t>balsam</w:t>
      </w:r>
      <w:r w:rsidR="00E72A93" w:rsidRPr="007725E8">
        <w:t xml:space="preserve">, </w:t>
      </w:r>
      <w:r w:rsidR="00E72A93" w:rsidRPr="007725E8">
        <w:rPr>
          <w:u w:val="single"/>
        </w:rPr>
        <w:t>łazienka</w:t>
      </w:r>
      <w:r w:rsidR="00E72A93" w:rsidRPr="007725E8">
        <w:t xml:space="preserve">, najlepszy, </w:t>
      </w:r>
      <w:r w:rsidR="00E72A93" w:rsidRPr="007725E8">
        <w:rPr>
          <w:u w:val="single"/>
        </w:rPr>
        <w:t>chłopcy</w:t>
      </w:r>
      <w:r w:rsidR="00E72A93" w:rsidRPr="007725E8">
        <w:t xml:space="preserve">, wybór, dzień, </w:t>
      </w:r>
      <w:r w:rsidR="00E72A93" w:rsidRPr="007725E8">
        <w:rPr>
          <w:u w:val="single"/>
        </w:rPr>
        <w:t>pełny</w:t>
      </w:r>
      <w:r w:rsidR="00E72A93" w:rsidRPr="007725E8">
        <w:t xml:space="preserve">, </w:t>
      </w:r>
      <w:r w:rsidR="00E72A93" w:rsidRPr="007725E8">
        <w:rPr>
          <w:u w:val="single"/>
        </w:rPr>
        <w:t>fajny</w:t>
      </w:r>
      <w:r w:rsidR="00E72A93" w:rsidRPr="007725E8">
        <w:t xml:space="preserve">, </w:t>
      </w:r>
      <w:r w:rsidR="00E72A93" w:rsidRPr="007725E8">
        <w:rPr>
          <w:u w:val="single"/>
        </w:rPr>
        <w:t>pomysły</w:t>
      </w:r>
      <w:r w:rsidR="00E72A93" w:rsidRPr="007725E8">
        <w:t xml:space="preserve">, </w:t>
      </w:r>
      <w:r w:rsidR="00E72A93" w:rsidRPr="007725E8">
        <w:rPr>
          <w:u w:val="single"/>
        </w:rPr>
        <w:t>życie</w:t>
      </w:r>
      <w:r w:rsidR="00E72A93" w:rsidRPr="007725E8">
        <w:t xml:space="preserve">, </w:t>
      </w:r>
      <w:r w:rsidR="00E72A93" w:rsidRPr="007725E8">
        <w:rPr>
          <w:u w:val="single"/>
        </w:rPr>
        <w:t>mały</w:t>
      </w:r>
      <w:r w:rsidR="00E72A93" w:rsidRPr="007725E8">
        <w:t xml:space="preserve">, idealny, produkty, gama, </w:t>
      </w:r>
      <w:r w:rsidR="00E72A93" w:rsidRPr="007725E8">
        <w:rPr>
          <w:u w:val="single"/>
        </w:rPr>
        <w:t>odświeżający</w:t>
      </w:r>
      <w:r w:rsidR="00E72A93" w:rsidRPr="007725E8">
        <w:t xml:space="preserve">, </w:t>
      </w:r>
      <w:r w:rsidR="00E72A93" w:rsidRPr="007725E8">
        <w:rPr>
          <w:u w:val="single"/>
        </w:rPr>
        <w:t>prysznic</w:t>
      </w:r>
      <w:r w:rsidR="00E72A93" w:rsidRPr="007725E8">
        <w:t xml:space="preserve">, </w:t>
      </w:r>
      <w:r w:rsidR="00E72A93" w:rsidRPr="007725E8">
        <w:rPr>
          <w:u w:val="single"/>
        </w:rPr>
        <w:t>pielęgnacja skóry</w:t>
      </w:r>
      <w:r w:rsidR="00E72A93" w:rsidRPr="007725E8">
        <w:t xml:space="preserve">, styl, </w:t>
      </w:r>
      <w:r w:rsidR="00E72A93" w:rsidRPr="007725E8">
        <w:rPr>
          <w:u w:val="single"/>
        </w:rPr>
        <w:t>mycie</w:t>
      </w:r>
      <w:r w:rsidR="00AD5833">
        <w:rPr>
          <w:u w:val="single"/>
        </w:rPr>
        <w:t>/kosmetyczka</w:t>
      </w:r>
      <w:r w:rsidR="00E72A93" w:rsidRPr="007725E8">
        <w:t>]</w:t>
      </w:r>
    </w:p>
    <w:p w14:paraId="48D6D30E" w14:textId="6FCC17CE" w:rsidR="00552C1F" w:rsidRDefault="00861662" w:rsidP="0086691D">
      <w:pPr>
        <w:rPr>
          <w:sz w:val="20"/>
          <w:szCs w:val="20"/>
        </w:rPr>
      </w:pPr>
      <w:r w:rsidRPr="007725E8">
        <w:t xml:space="preserve">Z powyższego zestawienia leksyki podzielonej ze względu na kategorie płci wyłaniają się trzy wnioski. Po pierwsze, słownictwo użyte dla kategorii męskich jest bardziej zróżnicowane – </w:t>
      </w:r>
      <w:r w:rsidR="00B26757">
        <w:t>są to 34 wyrazy</w:t>
      </w:r>
      <w:r w:rsidRPr="007725E8">
        <w:t xml:space="preserve">, podczas gdy w sekcji produktów dla kobiet jest ich 28. Może być to spowodowane stosunkową nowością rynku kosmetyków męskich, przez co język używany do jego opisu nie ograniczył się jeszcze do utartych fraz. Po drugie, 21 z 34 słów (61,76%) pochodzących z sekcji kosmetyków dla mężczyzn ma charakter specyficzny – </w:t>
      </w:r>
      <w:r w:rsidR="000F020B">
        <w:br/>
      </w:r>
      <w:r w:rsidRPr="007725E8">
        <w:t xml:space="preserve">w przypadku kosmetyków przeznaczonych dla kobiet jest to jedynie 14 z 28 słów (50%). </w:t>
      </w:r>
      <w:r w:rsidRPr="007725E8">
        <w:lastRenderedPageBreak/>
        <w:t xml:space="preserve">Można </w:t>
      </w:r>
      <w:r w:rsidR="001E4B0D">
        <w:t>zatem</w:t>
      </w:r>
      <w:r w:rsidRPr="007725E8">
        <w:t xml:space="preserve"> przypuszczać, że autorzy tekstu z katalogu umyślnie oddzielali</w:t>
      </w:r>
      <w:r w:rsidR="00D75703">
        <w:t xml:space="preserve"> środki językowe określające </w:t>
      </w:r>
      <w:r w:rsidRPr="007725E8">
        <w:t xml:space="preserve">kosmetyki dla mężczyzn od języka związanego </w:t>
      </w:r>
      <w:r w:rsidRPr="00610C9E">
        <w:t xml:space="preserve">z </w:t>
      </w:r>
      <w:r w:rsidR="0080451F" w:rsidRPr="00087B57">
        <w:t>normami język</w:t>
      </w:r>
      <w:r w:rsidR="00AD5833">
        <w:t>owymi</w:t>
      </w:r>
      <w:r w:rsidR="0080451F" w:rsidRPr="00087B57">
        <w:t xml:space="preserve"> </w:t>
      </w:r>
      <w:r w:rsidR="00610C9E" w:rsidRPr="00087B57">
        <w:t xml:space="preserve">charakterystycznymi </w:t>
      </w:r>
      <w:r w:rsidR="0080451F" w:rsidRPr="00087B57">
        <w:t>dla opisu kosmetyków przeznaczonych dla kobiet</w:t>
      </w:r>
      <w:r w:rsidRPr="00610C9E">
        <w:t>, prawdopodobnie</w:t>
      </w:r>
      <w:r w:rsidRPr="007725E8">
        <w:t xml:space="preserve"> </w:t>
      </w:r>
      <w:r w:rsidR="000F020B">
        <w:br/>
      </w:r>
      <w:r w:rsidRPr="007725E8">
        <w:t xml:space="preserve">w celu uniknięcia skojarzeń, które mogłyby poddać w wątpliwość tożsamość płciową </w:t>
      </w:r>
      <w:r w:rsidR="000F020B">
        <w:br/>
      </w:r>
      <w:r w:rsidRPr="007725E8">
        <w:t>i seksualną konsumenta (</w:t>
      </w:r>
      <w:r w:rsidRPr="00610C9E">
        <w:t xml:space="preserve">patrz </w:t>
      </w:r>
      <w:r w:rsidR="0080451F" w:rsidRPr="00087B57">
        <w:t>podrozdział</w:t>
      </w:r>
      <w:r w:rsidR="00610C9E">
        <w:t xml:space="preserve"> </w:t>
      </w:r>
      <w:r w:rsidRPr="007725E8">
        <w:t xml:space="preserve">4.3.). Po trzecie, istnieją różnice związane z płcią konsumenta w opisach produktów. W kategoriach skierowanych dla kobiet produkty są opisywane jako </w:t>
      </w:r>
      <w:r w:rsidR="00E72A93">
        <w:t>„</w:t>
      </w:r>
      <w:proofErr w:type="spellStart"/>
      <w:r w:rsidRPr="007725E8">
        <w:t>luxurious</w:t>
      </w:r>
      <w:proofErr w:type="spellEnd"/>
      <w:r w:rsidR="00E72A93">
        <w:t>”</w:t>
      </w:r>
      <w:r w:rsidRPr="007725E8">
        <w:t xml:space="preserve"> [luksusowe] czy </w:t>
      </w:r>
      <w:r w:rsidR="00E72A93">
        <w:t>„</w:t>
      </w:r>
      <w:proofErr w:type="spellStart"/>
      <w:r w:rsidRPr="007725E8">
        <w:t>chic</w:t>
      </w:r>
      <w:proofErr w:type="spellEnd"/>
      <w:r w:rsidR="00E72A93">
        <w:t>”</w:t>
      </w:r>
      <w:r w:rsidRPr="007725E8">
        <w:t xml:space="preserve"> [eleganckie] i nadające się do </w:t>
      </w:r>
      <w:r w:rsidR="00E72A93">
        <w:t>„</w:t>
      </w:r>
      <w:proofErr w:type="spellStart"/>
      <w:r w:rsidRPr="007725E8">
        <w:t>pampering</w:t>
      </w:r>
      <w:proofErr w:type="spellEnd"/>
      <w:r w:rsidR="00E72A93">
        <w:t>”</w:t>
      </w:r>
      <w:r w:rsidRPr="007725E8">
        <w:t xml:space="preserve"> [odprężenia, relaksu]. Produkty męskie są za to </w:t>
      </w:r>
      <w:r w:rsidR="00E72A93">
        <w:t>„</w:t>
      </w:r>
      <w:proofErr w:type="spellStart"/>
      <w:r w:rsidRPr="007725E8">
        <w:t>cool</w:t>
      </w:r>
      <w:proofErr w:type="spellEnd"/>
      <w:r w:rsidR="00E72A93">
        <w:t>”</w:t>
      </w:r>
      <w:r w:rsidR="00552C1F">
        <w:t xml:space="preserve"> </w:t>
      </w:r>
      <w:bookmarkStart w:id="8" w:name="page11"/>
      <w:bookmarkEnd w:id="8"/>
      <w:r w:rsidRPr="007725E8">
        <w:t xml:space="preserve">i </w:t>
      </w:r>
      <w:r w:rsidR="00E72A93">
        <w:t>„</w:t>
      </w:r>
      <w:proofErr w:type="spellStart"/>
      <w:r w:rsidRPr="007725E8">
        <w:t>fun</w:t>
      </w:r>
      <w:proofErr w:type="spellEnd"/>
      <w:r w:rsidR="00E72A93">
        <w:t>”</w:t>
      </w:r>
      <w:r w:rsidRPr="007725E8">
        <w:t xml:space="preserve"> [fajne, super, </w:t>
      </w:r>
      <w:proofErr w:type="spellStart"/>
      <w:r w:rsidRPr="007725E8">
        <w:t>cool</w:t>
      </w:r>
      <w:proofErr w:type="spellEnd"/>
      <w:r w:rsidRPr="007725E8">
        <w:t xml:space="preserve">], opisywane jako służące do </w:t>
      </w:r>
      <w:r w:rsidR="00E72A93">
        <w:t>„</w:t>
      </w:r>
      <w:proofErr w:type="spellStart"/>
      <w:r w:rsidRPr="007725E8">
        <w:t>wash</w:t>
      </w:r>
      <w:proofErr w:type="spellEnd"/>
      <w:r w:rsidRPr="007725E8">
        <w:t>[</w:t>
      </w:r>
      <w:proofErr w:type="spellStart"/>
      <w:r w:rsidRPr="007725E8">
        <w:t>ing</w:t>
      </w:r>
      <w:proofErr w:type="spellEnd"/>
      <w:r w:rsidRPr="007725E8">
        <w:t>]</w:t>
      </w:r>
      <w:r w:rsidR="00E72A93">
        <w:t>”,</w:t>
      </w:r>
      <w:r w:rsidRPr="007725E8">
        <w:t xml:space="preserve"> </w:t>
      </w:r>
      <w:r w:rsidR="00E72A93">
        <w:t>„</w:t>
      </w:r>
      <w:r w:rsidRPr="007725E8">
        <w:t>grooming</w:t>
      </w:r>
      <w:r w:rsidR="00E72A93">
        <w:t>”</w:t>
      </w:r>
      <w:r w:rsidRPr="007725E8">
        <w:t xml:space="preserve"> [czyszczenie, pielęgnacja ciała] i jako </w:t>
      </w:r>
      <w:r w:rsidR="00E72A93">
        <w:t>„</w:t>
      </w:r>
      <w:proofErr w:type="spellStart"/>
      <w:r w:rsidRPr="007725E8">
        <w:t>treat</w:t>
      </w:r>
      <w:proofErr w:type="spellEnd"/>
      <w:r w:rsidR="00E72A93">
        <w:t>”</w:t>
      </w:r>
      <w:r w:rsidRPr="007725E8">
        <w:t xml:space="preserve"> [przyjemność].</w:t>
      </w:r>
      <w:r w:rsidR="004B00C9">
        <w:t xml:space="preserve"> </w:t>
      </w:r>
      <w:r w:rsidRPr="007725E8">
        <w:t xml:space="preserve">Odnaleźć można również kategorie semantyczne występujące tylko </w:t>
      </w:r>
      <w:r w:rsidR="000F020B">
        <w:br/>
      </w:r>
      <w:r w:rsidRPr="007725E8">
        <w:t xml:space="preserve">w przekazie dla jednej płci, </w:t>
      </w:r>
      <w:r w:rsidR="00E72A93">
        <w:t>na przykład</w:t>
      </w:r>
      <w:r w:rsidRPr="007725E8">
        <w:t xml:space="preserve"> tylko męskie produkty są opisywane za pomocą fizycznych efektów, </w:t>
      </w:r>
      <w:r w:rsidR="007556A2">
        <w:t>związanych</w:t>
      </w:r>
      <w:r w:rsidRPr="007725E8">
        <w:t xml:space="preserve"> </w:t>
      </w:r>
      <w:r w:rsidR="00AF2B31">
        <w:t>na przykład</w:t>
      </w:r>
      <w:r w:rsidRPr="007725E8">
        <w:t xml:space="preserve"> </w:t>
      </w:r>
      <w:r w:rsidR="007556A2">
        <w:t xml:space="preserve">z </w:t>
      </w:r>
      <w:r w:rsidRPr="007725E8">
        <w:t>właściwości</w:t>
      </w:r>
      <w:r w:rsidR="007556A2">
        <w:t>ami</w:t>
      </w:r>
      <w:r w:rsidRPr="007725E8">
        <w:t xml:space="preserve"> </w:t>
      </w:r>
      <w:r w:rsidR="007556A2" w:rsidRPr="007725E8">
        <w:t>chłodzący</w:t>
      </w:r>
      <w:r w:rsidR="007556A2">
        <w:t>mi</w:t>
      </w:r>
      <w:r w:rsidR="007556A2" w:rsidRPr="007725E8">
        <w:t xml:space="preserve"> </w:t>
      </w:r>
      <w:r w:rsidR="000F020B">
        <w:br/>
      </w:r>
      <w:r w:rsidRPr="007725E8">
        <w:t xml:space="preserve">i </w:t>
      </w:r>
      <w:r w:rsidR="007556A2" w:rsidRPr="007725E8">
        <w:t>odświeżający</w:t>
      </w:r>
      <w:r w:rsidR="007556A2">
        <w:t>mi</w:t>
      </w:r>
      <w:r w:rsidRPr="007725E8">
        <w:t xml:space="preserve">, natomiast wyłącznie kobiecym produktom towarzyszyły określenia dotyczące wyglądu, a konkretnie </w:t>
      </w:r>
      <w:r w:rsidR="00E72A93">
        <w:t>„</w:t>
      </w:r>
      <w:proofErr w:type="spellStart"/>
      <w:r w:rsidRPr="007725E8">
        <w:t>beauty</w:t>
      </w:r>
      <w:proofErr w:type="spellEnd"/>
      <w:r w:rsidRPr="007725E8">
        <w:t>/</w:t>
      </w:r>
      <w:proofErr w:type="spellStart"/>
      <w:r w:rsidRPr="007725E8">
        <w:t>beautiful</w:t>
      </w:r>
      <w:proofErr w:type="spellEnd"/>
      <w:r w:rsidR="00E72A93">
        <w:t>”</w:t>
      </w:r>
      <w:r w:rsidRPr="007725E8">
        <w:t xml:space="preserve"> [piękno/piękna] i </w:t>
      </w:r>
      <w:r w:rsidR="00E72A93">
        <w:t>„</w:t>
      </w:r>
      <w:proofErr w:type="spellStart"/>
      <w:r w:rsidRPr="007725E8">
        <w:t>gorgeous</w:t>
      </w:r>
      <w:proofErr w:type="spellEnd"/>
      <w:r w:rsidR="00E72A93">
        <w:t>”</w:t>
      </w:r>
      <w:r w:rsidRPr="007725E8">
        <w:t xml:space="preserve"> [śliczna]. Wobec tego wydaje się, że w przypadku kosmetyków dla kobiet ich praktyczne zastosowanie i efekty są drugorzędne w obliczu ich wartości niematerialnych, takich jak luksus i rozkosz, </w:t>
      </w:r>
      <w:r w:rsidR="000F020B">
        <w:br/>
      </w:r>
      <w:r w:rsidRPr="007725E8">
        <w:t xml:space="preserve">a autorzy tekstu zakładają, że konsumentkom zależy przede wszystkim na uczuciach </w:t>
      </w:r>
      <w:r w:rsidR="000F020B">
        <w:br/>
      </w:r>
      <w:r w:rsidRPr="007725E8">
        <w:t>i wyglądzie.</w:t>
      </w:r>
    </w:p>
    <w:p w14:paraId="2A6E39EF" w14:textId="08BEB00C" w:rsidR="00C34D92" w:rsidRPr="007725E8" w:rsidRDefault="00861662" w:rsidP="0086691D">
      <w:pPr>
        <w:rPr>
          <w:b/>
          <w:bCs/>
        </w:rPr>
      </w:pPr>
      <w:r w:rsidRPr="007725E8">
        <w:t xml:space="preserve">Asymetrię można dostrzec również w odniesieniu do aktorów społecznych. Przy uwzględnieniu słów, które stanowią mniej niż 0,3% badanego materiału, otrzymujemy następujący obraz </w:t>
      </w:r>
      <w:proofErr w:type="spellStart"/>
      <w:r w:rsidRPr="007725E8">
        <w:t>odwołań</w:t>
      </w:r>
      <w:proofErr w:type="spellEnd"/>
      <w:r w:rsidRPr="007725E8">
        <w:t xml:space="preserve"> do aktorów społecznych o wskazanej płci. Częstotliwość występowania umiesz</w:t>
      </w:r>
      <w:r w:rsidR="0080451F">
        <w:t>cz</w:t>
      </w:r>
      <w:r w:rsidRPr="007725E8">
        <w:t>ono w nawiasach.</w:t>
      </w:r>
    </w:p>
    <w:tbl>
      <w:tblPr>
        <w:tblStyle w:val="Siatkatabelijasna"/>
        <w:tblW w:w="7635" w:type="dxa"/>
        <w:tblLook w:val="04A0" w:firstRow="1" w:lastRow="0" w:firstColumn="1" w:lastColumn="0" w:noHBand="0" w:noVBand="1"/>
      </w:tblPr>
      <w:tblGrid>
        <w:gridCol w:w="4245"/>
        <w:gridCol w:w="3390"/>
      </w:tblGrid>
      <w:tr w:rsidR="00E72A93" w:rsidRPr="007725E8" w14:paraId="55E2EF4B" w14:textId="77777777" w:rsidTr="004B00C9">
        <w:trPr>
          <w:trHeight w:val="288"/>
        </w:trPr>
        <w:tc>
          <w:tcPr>
            <w:tcW w:w="4245" w:type="dxa"/>
            <w:noWrap/>
            <w:hideMark/>
          </w:tcPr>
          <w:p w14:paraId="78E51991" w14:textId="77777777" w:rsidR="00E72A93" w:rsidRPr="007725E8" w:rsidRDefault="00E72A93" w:rsidP="00087B57">
            <w:r w:rsidRPr="007725E8">
              <w:t>aktorki społeczne – kobiety</w:t>
            </w:r>
          </w:p>
        </w:tc>
        <w:tc>
          <w:tcPr>
            <w:tcW w:w="3390" w:type="dxa"/>
            <w:noWrap/>
            <w:hideMark/>
          </w:tcPr>
          <w:p w14:paraId="0812D786" w14:textId="77777777" w:rsidR="00E72A93" w:rsidRPr="007725E8" w:rsidRDefault="00E72A93" w:rsidP="00087B57">
            <w:r w:rsidRPr="007725E8">
              <w:t>aktorzy społeczni – mężczyźni</w:t>
            </w:r>
          </w:p>
        </w:tc>
      </w:tr>
      <w:tr w:rsidR="00E72A93" w:rsidRPr="00E72A93" w14:paraId="7555AC4D" w14:textId="77777777" w:rsidTr="007725E8">
        <w:trPr>
          <w:trHeight w:val="288"/>
        </w:trPr>
        <w:tc>
          <w:tcPr>
            <w:tcW w:w="4245" w:type="dxa"/>
            <w:noWrap/>
            <w:hideMark/>
          </w:tcPr>
          <w:p w14:paraId="7E02F240" w14:textId="77777777" w:rsidR="00E72A93" w:rsidRPr="00E72A93" w:rsidRDefault="00E72A93" w:rsidP="00087B57">
            <w:proofErr w:type="spellStart"/>
            <w:r w:rsidRPr="00E72A93">
              <w:t>girl</w:t>
            </w:r>
            <w:proofErr w:type="spellEnd"/>
            <w:r w:rsidRPr="00E72A93">
              <w:t>(s) [dziewczyna/dziewczyny] (10)</w:t>
            </w:r>
          </w:p>
        </w:tc>
        <w:tc>
          <w:tcPr>
            <w:tcW w:w="3390" w:type="dxa"/>
            <w:noWrap/>
            <w:hideMark/>
          </w:tcPr>
          <w:p w14:paraId="52147191" w14:textId="77777777" w:rsidR="00E72A93" w:rsidRPr="00E72A93" w:rsidRDefault="00E72A93" w:rsidP="00087B57">
            <w:proofErr w:type="spellStart"/>
            <w:r w:rsidRPr="00E72A93">
              <w:t>boys</w:t>
            </w:r>
            <w:proofErr w:type="spellEnd"/>
            <w:r w:rsidRPr="00E72A93">
              <w:t xml:space="preserve"> [chłopcy] (3)</w:t>
            </w:r>
          </w:p>
        </w:tc>
      </w:tr>
      <w:tr w:rsidR="00E72A93" w:rsidRPr="00E72A93" w14:paraId="31C76032" w14:textId="77777777" w:rsidTr="007725E8">
        <w:trPr>
          <w:trHeight w:val="288"/>
        </w:trPr>
        <w:tc>
          <w:tcPr>
            <w:tcW w:w="4245" w:type="dxa"/>
            <w:noWrap/>
            <w:hideMark/>
          </w:tcPr>
          <w:p w14:paraId="72C00400" w14:textId="77777777" w:rsidR="00E72A93" w:rsidRPr="00E72A93" w:rsidRDefault="00E72A93" w:rsidP="00087B57">
            <w:proofErr w:type="spellStart"/>
            <w:r w:rsidRPr="00E72A93">
              <w:t>woman</w:t>
            </w:r>
            <w:proofErr w:type="spellEnd"/>
            <w:r w:rsidRPr="00E72A93">
              <w:t>/</w:t>
            </w:r>
            <w:proofErr w:type="spellStart"/>
            <w:r w:rsidRPr="00E72A93">
              <w:t>women</w:t>
            </w:r>
            <w:proofErr w:type="spellEnd"/>
            <w:r w:rsidRPr="00E72A93">
              <w:t xml:space="preserve"> [kobieta/kobiety] (8)</w:t>
            </w:r>
          </w:p>
        </w:tc>
        <w:tc>
          <w:tcPr>
            <w:tcW w:w="3390" w:type="dxa"/>
            <w:noWrap/>
            <w:hideMark/>
          </w:tcPr>
          <w:p w14:paraId="4B6661EB" w14:textId="77777777" w:rsidR="00E72A93" w:rsidRPr="00E72A93" w:rsidRDefault="00E72A93" w:rsidP="00087B57">
            <w:proofErr w:type="spellStart"/>
            <w:r w:rsidRPr="00E72A93">
              <w:t>man</w:t>
            </w:r>
            <w:proofErr w:type="spellEnd"/>
            <w:r w:rsidRPr="00E72A93">
              <w:t>/men [mężczyzna/mężczyźni] (22)</w:t>
            </w:r>
          </w:p>
        </w:tc>
      </w:tr>
      <w:tr w:rsidR="00E72A93" w:rsidRPr="00E72A93" w14:paraId="1A392352" w14:textId="77777777" w:rsidTr="007725E8">
        <w:trPr>
          <w:trHeight w:val="288"/>
        </w:trPr>
        <w:tc>
          <w:tcPr>
            <w:tcW w:w="4245" w:type="dxa"/>
            <w:noWrap/>
            <w:hideMark/>
          </w:tcPr>
          <w:p w14:paraId="48C22040" w14:textId="77777777" w:rsidR="00E72A93" w:rsidRPr="00E72A93" w:rsidRDefault="00E72A93" w:rsidP="00087B57">
            <w:r w:rsidRPr="00E72A93">
              <w:t>(</w:t>
            </w:r>
            <w:proofErr w:type="spellStart"/>
            <w:r w:rsidRPr="00E72A93">
              <w:t>best</w:t>
            </w:r>
            <w:proofErr w:type="spellEnd"/>
            <w:r w:rsidRPr="00E72A93">
              <w:t xml:space="preserve">) </w:t>
            </w:r>
            <w:proofErr w:type="spellStart"/>
            <w:r w:rsidRPr="00E72A93">
              <w:t>friend</w:t>
            </w:r>
            <w:proofErr w:type="spellEnd"/>
            <w:r w:rsidRPr="00E72A93">
              <w:t xml:space="preserve"> [znajoma, koleżanka, przyjaciółka] (3)</w:t>
            </w:r>
          </w:p>
        </w:tc>
        <w:tc>
          <w:tcPr>
            <w:tcW w:w="3390" w:type="dxa"/>
            <w:noWrap/>
            <w:hideMark/>
          </w:tcPr>
          <w:p w14:paraId="5A5C1908" w14:textId="6C594A5D" w:rsidR="00E72A93" w:rsidRPr="00E72A93" w:rsidRDefault="00B10815" w:rsidP="00087B57">
            <w:r>
              <w:t>—</w:t>
            </w:r>
          </w:p>
        </w:tc>
      </w:tr>
      <w:tr w:rsidR="00E72A93" w:rsidRPr="00E72A93" w14:paraId="0557B098" w14:textId="77777777" w:rsidTr="007725E8">
        <w:trPr>
          <w:trHeight w:val="288"/>
        </w:trPr>
        <w:tc>
          <w:tcPr>
            <w:tcW w:w="4245" w:type="dxa"/>
            <w:noWrap/>
            <w:hideMark/>
          </w:tcPr>
          <w:p w14:paraId="1D0CCB58" w14:textId="77777777" w:rsidR="00E72A93" w:rsidRPr="00E72A93" w:rsidRDefault="00E72A93" w:rsidP="00087B57">
            <w:proofErr w:type="spellStart"/>
            <w:r w:rsidRPr="00E72A93">
              <w:t>ladies</w:t>
            </w:r>
            <w:proofErr w:type="spellEnd"/>
            <w:r w:rsidRPr="00E72A93">
              <w:t xml:space="preserve"> [panie] (2)</w:t>
            </w:r>
          </w:p>
        </w:tc>
        <w:tc>
          <w:tcPr>
            <w:tcW w:w="3390" w:type="dxa"/>
            <w:noWrap/>
            <w:hideMark/>
          </w:tcPr>
          <w:p w14:paraId="0EE1BE8C" w14:textId="1998A6E5" w:rsidR="00E72A93" w:rsidRPr="00E72A93" w:rsidRDefault="00B10815" w:rsidP="00087B57">
            <w:r>
              <w:t>—</w:t>
            </w:r>
          </w:p>
        </w:tc>
      </w:tr>
      <w:tr w:rsidR="00E72A93" w:rsidRPr="00E72A93" w14:paraId="7BC14723" w14:textId="77777777" w:rsidTr="007725E8">
        <w:trPr>
          <w:trHeight w:val="288"/>
        </w:trPr>
        <w:tc>
          <w:tcPr>
            <w:tcW w:w="4245" w:type="dxa"/>
            <w:noWrap/>
            <w:hideMark/>
          </w:tcPr>
          <w:p w14:paraId="101E5F62" w14:textId="77777777" w:rsidR="00E72A93" w:rsidRPr="00E72A93" w:rsidRDefault="00E72A93" w:rsidP="00087B57">
            <w:proofErr w:type="spellStart"/>
            <w:r w:rsidRPr="00E72A93">
              <w:lastRenderedPageBreak/>
              <w:t>daughter</w:t>
            </w:r>
            <w:proofErr w:type="spellEnd"/>
            <w:r w:rsidRPr="00E72A93">
              <w:t xml:space="preserve">, </w:t>
            </w:r>
            <w:proofErr w:type="spellStart"/>
            <w:r w:rsidRPr="00E72A93">
              <w:t>niece</w:t>
            </w:r>
            <w:proofErr w:type="spellEnd"/>
            <w:r w:rsidRPr="00E72A93">
              <w:t xml:space="preserve"> [córka, siostrzenica/bratanica] (po 1)</w:t>
            </w:r>
          </w:p>
        </w:tc>
        <w:tc>
          <w:tcPr>
            <w:tcW w:w="3390" w:type="dxa"/>
            <w:noWrap/>
            <w:hideMark/>
          </w:tcPr>
          <w:p w14:paraId="783DF3DC" w14:textId="77777777" w:rsidR="00E72A93" w:rsidRPr="00E72A93" w:rsidRDefault="00E72A93" w:rsidP="00087B57">
            <w:proofErr w:type="spellStart"/>
            <w:r w:rsidRPr="00E72A93">
              <w:t>brothers</w:t>
            </w:r>
            <w:proofErr w:type="spellEnd"/>
            <w:r w:rsidRPr="00E72A93">
              <w:t xml:space="preserve">, </w:t>
            </w:r>
            <w:proofErr w:type="spellStart"/>
            <w:r w:rsidRPr="00E72A93">
              <w:t>uncles</w:t>
            </w:r>
            <w:proofErr w:type="spellEnd"/>
            <w:r w:rsidRPr="00E72A93">
              <w:t xml:space="preserve"> [bracia, wujkowie] (po 1)</w:t>
            </w:r>
          </w:p>
        </w:tc>
      </w:tr>
      <w:tr w:rsidR="00E72A93" w:rsidRPr="00E72A93" w14:paraId="7F19B092" w14:textId="77777777" w:rsidTr="007725E8">
        <w:trPr>
          <w:trHeight w:val="288"/>
        </w:trPr>
        <w:tc>
          <w:tcPr>
            <w:tcW w:w="4245" w:type="dxa"/>
            <w:noWrap/>
            <w:hideMark/>
          </w:tcPr>
          <w:p w14:paraId="40D3129C" w14:textId="77777777" w:rsidR="00E72A93" w:rsidRPr="00E72A93" w:rsidRDefault="00E72A93" w:rsidP="00087B57">
            <w:r w:rsidRPr="00E72A93">
              <w:rPr>
                <w:lang w:val="en-US"/>
              </w:rPr>
              <w:t>miss [panna] (1)</w:t>
            </w:r>
          </w:p>
        </w:tc>
        <w:tc>
          <w:tcPr>
            <w:tcW w:w="3390" w:type="dxa"/>
            <w:noWrap/>
            <w:hideMark/>
          </w:tcPr>
          <w:p w14:paraId="7C7DBF1D" w14:textId="7D10F872" w:rsidR="00E72A93" w:rsidRPr="00E72A93" w:rsidRDefault="00E72A93" w:rsidP="00087B57">
            <w:r w:rsidRPr="00E72A93">
              <w:t>-</w:t>
            </w:r>
            <w:r w:rsidR="00B10815">
              <w:t>—</w:t>
            </w:r>
          </w:p>
        </w:tc>
      </w:tr>
      <w:tr w:rsidR="00E72A93" w:rsidRPr="00E72A93" w14:paraId="764593BA" w14:textId="77777777" w:rsidTr="007725E8">
        <w:trPr>
          <w:trHeight w:val="288"/>
        </w:trPr>
        <w:tc>
          <w:tcPr>
            <w:tcW w:w="4245" w:type="dxa"/>
            <w:noWrap/>
            <w:hideMark/>
          </w:tcPr>
          <w:p w14:paraId="1797C6C1" w14:textId="0F181784" w:rsidR="00E72A93" w:rsidRPr="00E72A93" w:rsidRDefault="00B10815" w:rsidP="00087B57">
            <w:r>
              <w:rPr>
                <w:lang w:val="en-US"/>
              </w:rPr>
              <w:t>—</w:t>
            </w:r>
          </w:p>
        </w:tc>
        <w:tc>
          <w:tcPr>
            <w:tcW w:w="3390" w:type="dxa"/>
            <w:noWrap/>
            <w:hideMark/>
          </w:tcPr>
          <w:p w14:paraId="34B09B60" w14:textId="77777777" w:rsidR="00E72A93" w:rsidRPr="00E72A93" w:rsidRDefault="00E72A93" w:rsidP="00087B57">
            <w:r w:rsidRPr="00E72A93">
              <w:t>boyfriend [chłopak] (1)</w:t>
            </w:r>
          </w:p>
        </w:tc>
      </w:tr>
    </w:tbl>
    <w:p w14:paraId="10585C0B" w14:textId="6DEB0D3B" w:rsidR="00C34D92" w:rsidRPr="005D2BAF" w:rsidRDefault="00861662" w:rsidP="00087B57">
      <w:r w:rsidRPr="007725E8">
        <w:rPr>
          <w:b/>
          <w:bCs/>
        </w:rPr>
        <w:t>Tabela 1:</w:t>
      </w:r>
      <w:r w:rsidRPr="007725E8">
        <w:t xml:space="preserve"> Aktorzy społeczni</w:t>
      </w:r>
      <w:r w:rsidR="0080451F">
        <w:t xml:space="preserve"> podzieleni</w:t>
      </w:r>
      <w:r w:rsidRPr="007725E8">
        <w:t xml:space="preserve"> ze względu na płeć</w:t>
      </w:r>
    </w:p>
    <w:p w14:paraId="494FBCAB" w14:textId="1A90A089" w:rsidR="00C34D92" w:rsidRPr="005D2BAF" w:rsidRDefault="00861662" w:rsidP="0086691D">
      <w:r w:rsidRPr="007725E8">
        <w:t>Powyższy przegląd pokazuje, że tekst odwołuje się do kobiet za pomocą większej liczby określeń, natomiast mężczyźni są określani jako</w:t>
      </w:r>
      <w:r w:rsidR="00E72A93">
        <w:t xml:space="preserve"> „</w:t>
      </w:r>
      <w:proofErr w:type="spellStart"/>
      <w:r w:rsidRPr="007725E8">
        <w:t>man</w:t>
      </w:r>
      <w:proofErr w:type="spellEnd"/>
      <w:r w:rsidRPr="007725E8">
        <w:t>/men</w:t>
      </w:r>
      <w:r w:rsidR="00E72A93">
        <w:t>”</w:t>
      </w:r>
      <w:r w:rsidRPr="007725E8">
        <w:t xml:space="preserve"> [mężczyzna/mężczyźni] </w:t>
      </w:r>
      <w:r w:rsidR="000F020B">
        <w:br/>
      </w:r>
      <w:r w:rsidRPr="007725E8">
        <w:t xml:space="preserve">w 78,57% przypadków. Jest to zresztą termin kluczowy </w:t>
      </w:r>
      <w:r w:rsidRPr="00610C9E">
        <w:t xml:space="preserve">w </w:t>
      </w:r>
      <w:r w:rsidR="0080451F" w:rsidRPr="00087B57">
        <w:t>części poświęconej kosmetykom dla mężczyzn</w:t>
      </w:r>
      <w:r w:rsidRPr="00610C9E">
        <w:t xml:space="preserve">, czyli wyraz nadużywany w stopniu istotnym statystycznie w porównaniu </w:t>
      </w:r>
      <w:r w:rsidR="000F020B">
        <w:br/>
      </w:r>
      <w:r w:rsidRPr="00610C9E">
        <w:t xml:space="preserve">z korpusem pochodzącym z dwóch kategorii produktów dla kobiet. Co więcej, w </w:t>
      </w:r>
      <w:r w:rsidR="00610C9E" w:rsidRPr="00610C9E">
        <w:t>sekcji</w:t>
      </w:r>
      <w:r w:rsidR="00D75703">
        <w:t xml:space="preserve"> produktów dla</w:t>
      </w:r>
      <w:r w:rsidR="00610C9E" w:rsidRPr="00610C9E">
        <w:t xml:space="preserve"> </w:t>
      </w:r>
      <w:r w:rsidRPr="00610C9E">
        <w:t xml:space="preserve">mężczyzn obserwujemy znormalizowany wskaźnik 41 odniesień do płci na 1000 słów, podczas gdy w </w:t>
      </w:r>
      <w:r w:rsidR="0080451F" w:rsidRPr="00087B57">
        <w:t>częściach</w:t>
      </w:r>
      <w:r w:rsidRPr="00610C9E">
        <w:t xml:space="preserve"> z produktami dla</w:t>
      </w:r>
      <w:r w:rsidRPr="007725E8">
        <w:t xml:space="preserve"> kobiet jest to 15 odniesień na 1000 słów. To znowu oznacza, że domyślnie kosmetyki uważane są za coś kobiecego, za to kosmetyki dla mężczyzn muszą być specjalnie oznaczone. Odniesienia do kobiet-aktorek społecznych pojawiają się najczęściej pod postacią wyrazu </w:t>
      </w:r>
      <w:r w:rsidR="00E72A93">
        <w:t>„</w:t>
      </w:r>
      <w:proofErr w:type="spellStart"/>
      <w:r w:rsidRPr="007725E8">
        <w:t>girl</w:t>
      </w:r>
      <w:proofErr w:type="spellEnd"/>
      <w:r w:rsidRPr="007725E8">
        <w:t>(s)</w:t>
      </w:r>
      <w:r w:rsidR="00E72A93">
        <w:t>”</w:t>
      </w:r>
      <w:r w:rsidRPr="007725E8">
        <w:t xml:space="preserve"> [dziewczyna/dziewczyny], co stanowi asymetrię względem odniesień do mężczyzn, gdzie dominuje wyraz </w:t>
      </w:r>
      <w:r w:rsidR="00E72A93">
        <w:t>„</w:t>
      </w:r>
      <w:proofErr w:type="spellStart"/>
      <w:r w:rsidRPr="007725E8">
        <w:t>man</w:t>
      </w:r>
      <w:proofErr w:type="spellEnd"/>
      <w:r w:rsidRPr="007725E8">
        <w:t>/men</w:t>
      </w:r>
      <w:r w:rsidR="00E72A93">
        <w:t>”</w:t>
      </w:r>
      <w:r w:rsidRPr="007725E8">
        <w:t xml:space="preserve"> [mężczyzna/mężczyźni]. Na koniec, zauważmy, że odniesienia do aktorów społecznych są podzielone według kryteriów tożsamości płciowej między dwie części korpusu – </w:t>
      </w:r>
      <w:r w:rsidR="00E72A93">
        <w:t>„</w:t>
      </w:r>
      <w:proofErr w:type="spellStart"/>
      <w:r w:rsidRPr="007725E8">
        <w:t>girl</w:t>
      </w:r>
      <w:proofErr w:type="spellEnd"/>
      <w:r w:rsidRPr="007725E8">
        <w:t>(s)</w:t>
      </w:r>
      <w:r w:rsidR="00E72A93">
        <w:t>”</w:t>
      </w:r>
      <w:r w:rsidRPr="007725E8">
        <w:t xml:space="preserve"> itd. pojawiają się wyłącznie w sekcjach z produktami dla kobiet, a </w:t>
      </w:r>
      <w:r w:rsidR="00E72A93">
        <w:t>„</w:t>
      </w:r>
      <w:proofErr w:type="spellStart"/>
      <w:r w:rsidRPr="007725E8">
        <w:t>boys</w:t>
      </w:r>
      <w:proofErr w:type="spellEnd"/>
      <w:r w:rsidR="00E72A93">
        <w:t>”</w:t>
      </w:r>
      <w:r w:rsidRPr="007725E8">
        <w:t xml:space="preserve"> itd. – tylko w sekcjach dla mężczyzn. Oznacza to, że istnieje pewien sposób segregacji i asymetrii między typami tożsamości płciowej, a także pewna dominacja w nazywaniu tożsamości płciowej męskich aktorów społecznych – przynajmniej pod względem ilościowym.</w:t>
      </w:r>
    </w:p>
    <w:p w14:paraId="491267A9" w14:textId="255A3F5E" w:rsidR="00C34D92" w:rsidRDefault="00861662" w:rsidP="0086691D">
      <w:r w:rsidRPr="007725E8">
        <w:t>W tym miejscu należy zauważyć, że odniesienia do aktorów społecznych nie muszą koniecznie dotyczyć czytelników, ale na przykład osoby, dla której można, zgodnie z zachętą autorów katalogu, kupić prezent (zob. lista konkordancji</w:t>
      </w:r>
      <w:r w:rsidR="004B00C9">
        <w:t xml:space="preserve"> </w:t>
      </w:r>
      <w:r w:rsidR="0080451F">
        <w:t>na</w:t>
      </w:r>
      <w:r w:rsidRPr="007725E8">
        <w:t xml:space="preserve"> rys. </w:t>
      </w:r>
      <w:r w:rsidR="001E6AE6">
        <w:t>3</w:t>
      </w:r>
      <w:r w:rsidRPr="007725E8">
        <w:t>). Co prawda, aby ustalić tożsamość zbiorową czytelników konstruowaną w tekście, potrzeba bardziej dogłębnej analizy, jednak można stwierdzić, że badane teksty próbują zachęcić odbiorców do kupna produktów dla</w:t>
      </w:r>
      <w:bookmarkStart w:id="9" w:name="page12"/>
      <w:bookmarkEnd w:id="9"/>
      <w:r w:rsidR="005D2BAF">
        <w:t xml:space="preserve"> </w:t>
      </w:r>
      <w:r w:rsidRPr="007725E8">
        <w:t xml:space="preserve">przyjaciółek lub młodszych od nich samych kobiet, na przykład córek, siostrzenic czy bratanic. Jeżeli chodzi o mężczyzn zaś, to zachęca się odbiorców do kupowania prezentów dla </w:t>
      </w:r>
      <w:r w:rsidR="00E72A93">
        <w:t>„</w:t>
      </w:r>
      <w:proofErr w:type="spellStart"/>
      <w:r w:rsidRPr="007725E8">
        <w:t>man</w:t>
      </w:r>
      <w:proofErr w:type="spellEnd"/>
      <w:r w:rsidRPr="007725E8">
        <w:t xml:space="preserve"> of </w:t>
      </w:r>
      <w:proofErr w:type="spellStart"/>
      <w:r w:rsidRPr="007725E8">
        <w:t>your</w:t>
      </w:r>
      <w:proofErr w:type="spellEnd"/>
      <w:r w:rsidRPr="007725E8">
        <w:t xml:space="preserve"> life</w:t>
      </w:r>
      <w:r w:rsidR="00E72A93">
        <w:t>”</w:t>
      </w:r>
      <w:r w:rsidRPr="007725E8">
        <w:t xml:space="preserve"> [mężczyzny </w:t>
      </w:r>
      <w:r w:rsidR="00E72A93">
        <w:t>t</w:t>
      </w:r>
      <w:r w:rsidR="00E72A93" w:rsidRPr="007725E8">
        <w:t xml:space="preserve">wojego </w:t>
      </w:r>
      <w:r w:rsidRPr="007725E8">
        <w:t>życia] oraz krewnych w tym samym wieku lub starszych, tj. braci i wujków. W oczy rzuca się brak odniesień do męża lub żony jako adresata prezentu.</w:t>
      </w:r>
    </w:p>
    <w:p w14:paraId="5AC543B5" w14:textId="638BB167" w:rsidR="00E72A93" w:rsidRPr="005D2BAF" w:rsidRDefault="00E72A93" w:rsidP="0086691D">
      <w:r w:rsidRPr="00E72A93">
        <w:rPr>
          <w:noProof/>
          <w:lang w:val="pl-PL"/>
        </w:rPr>
        <w:lastRenderedPageBreak/>
        <w:drawing>
          <wp:inline distT="0" distB="0" distL="0" distR="0" wp14:anchorId="0121A672" wp14:editId="02FB17B8">
            <wp:extent cx="5197290" cy="2530059"/>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7290" cy="2530059"/>
                    </a:xfrm>
                    <a:prstGeom prst="rect">
                      <a:avLst/>
                    </a:prstGeom>
                  </pic:spPr>
                </pic:pic>
              </a:graphicData>
            </a:graphic>
          </wp:inline>
        </w:drawing>
      </w:r>
    </w:p>
    <w:p w14:paraId="20DBD2F4" w14:textId="0E239D30" w:rsidR="00C34D92" w:rsidRPr="005D2BAF" w:rsidRDefault="00861662" w:rsidP="00087B57">
      <w:r w:rsidRPr="00087B57">
        <w:rPr>
          <w:b/>
          <w:bCs/>
        </w:rPr>
        <w:t>Ry</w:t>
      </w:r>
      <w:r w:rsidR="00684332" w:rsidRPr="00087B57">
        <w:rPr>
          <w:b/>
          <w:bCs/>
        </w:rPr>
        <w:t>s.</w:t>
      </w:r>
      <w:r w:rsidRPr="00087B57">
        <w:rPr>
          <w:b/>
          <w:bCs/>
        </w:rPr>
        <w:t xml:space="preserve"> </w:t>
      </w:r>
      <w:r w:rsidR="001E6AE6" w:rsidRPr="00087B57">
        <w:rPr>
          <w:b/>
          <w:bCs/>
        </w:rPr>
        <w:t>3</w:t>
      </w:r>
      <w:r w:rsidRPr="00610C9E">
        <w:rPr>
          <w:b/>
          <w:bCs/>
        </w:rPr>
        <w:t>:</w:t>
      </w:r>
      <w:r w:rsidRPr="007725E8">
        <w:t xml:space="preserve"> Lista konkordancji dla wyrazu </w:t>
      </w:r>
      <w:r w:rsidR="00E72A93">
        <w:t>„</w:t>
      </w:r>
      <w:proofErr w:type="spellStart"/>
      <w:r w:rsidRPr="007725E8">
        <w:t>girl</w:t>
      </w:r>
      <w:proofErr w:type="spellEnd"/>
      <w:r w:rsidRPr="007725E8">
        <w:t>(s)</w:t>
      </w:r>
      <w:r w:rsidR="00E72A93">
        <w:t>”</w:t>
      </w:r>
      <w:r w:rsidRPr="007725E8">
        <w:t xml:space="preserve"> [dziewczyna/dziewczyny]</w:t>
      </w:r>
      <w:r w:rsidR="00610C9E">
        <w:rPr>
          <w:rStyle w:val="Odwoanieprzypisudolnego"/>
          <w:rFonts w:eastAsia="Georgia"/>
          <w:sz w:val="20"/>
          <w:szCs w:val="20"/>
        </w:rPr>
        <w:footnoteReference w:id="9"/>
      </w:r>
    </w:p>
    <w:p w14:paraId="13AD87D9" w14:textId="396B7A31" w:rsidR="00C34D92" w:rsidRPr="00684332" w:rsidRDefault="00605A7F" w:rsidP="0086691D">
      <w:pPr>
        <w:rPr>
          <w:sz w:val="20"/>
          <w:szCs w:val="20"/>
        </w:rPr>
      </w:pPr>
      <w:r w:rsidRPr="00087B57">
        <w:t xml:space="preserve">W kategorii innych, </w:t>
      </w:r>
      <w:r w:rsidR="00861662" w:rsidRPr="00087B57">
        <w:t>powiązanych procesów</w:t>
      </w:r>
      <w:r w:rsidR="00861662" w:rsidRPr="00605A7F">
        <w:t xml:space="preserve"> można</w:t>
      </w:r>
      <w:r w:rsidR="00861662" w:rsidRPr="007725E8">
        <w:t xml:space="preserve"> zauważyć, że wewnątrz obu zestawów danych najczęściej nazywani aktorzy społeczni są rzeczywiście aktorami – mają aktywną rolę, a nie tylko otrzymują produkt. Jedynym wyjątkiem jest użycie w sekcji dla mężczyzn gramatycznej drugiej osoby w stosunku do adresata. Została ona wykorzystana pięć razy, z czego adresatowi nadaje się rolę bierną w następujących przypadkach: „</w:t>
      </w:r>
      <w:proofErr w:type="spellStart"/>
      <w:r w:rsidR="00861662" w:rsidRPr="007725E8">
        <w:t>here</w:t>
      </w:r>
      <w:proofErr w:type="spellEnd"/>
      <w:r w:rsidR="00861662" w:rsidRPr="007725E8">
        <w:t xml:space="preserve"> </w:t>
      </w:r>
      <w:proofErr w:type="spellStart"/>
      <w:r w:rsidR="00861662" w:rsidRPr="007725E8">
        <w:t>are</w:t>
      </w:r>
      <w:proofErr w:type="spellEnd"/>
      <w:r w:rsidR="00861662" w:rsidRPr="007725E8">
        <w:t xml:space="preserve"> </w:t>
      </w:r>
      <w:proofErr w:type="spellStart"/>
      <w:r w:rsidR="00861662" w:rsidRPr="007725E8">
        <w:t>some</w:t>
      </w:r>
      <w:proofErr w:type="spellEnd"/>
      <w:r w:rsidR="00861662" w:rsidRPr="007725E8">
        <w:t xml:space="preserve"> </w:t>
      </w:r>
      <w:proofErr w:type="spellStart"/>
      <w:r w:rsidR="00861662" w:rsidRPr="007725E8">
        <w:t>inspiring</w:t>
      </w:r>
      <w:proofErr w:type="spellEnd"/>
      <w:r w:rsidR="00861662" w:rsidRPr="007725E8">
        <w:t xml:space="preserve"> </w:t>
      </w:r>
      <w:proofErr w:type="spellStart"/>
      <w:r w:rsidR="00861662" w:rsidRPr="007725E8">
        <w:t>ideas</w:t>
      </w:r>
      <w:proofErr w:type="spellEnd"/>
      <w:r w:rsidR="00861662" w:rsidRPr="007725E8">
        <w:t xml:space="preserve"> to </w:t>
      </w:r>
      <w:proofErr w:type="spellStart"/>
      <w:r w:rsidR="00861662" w:rsidRPr="007725E8">
        <w:t>get</w:t>
      </w:r>
      <w:proofErr w:type="spellEnd"/>
      <w:r w:rsidR="00861662" w:rsidRPr="007725E8">
        <w:t xml:space="preserve"> </w:t>
      </w:r>
      <w:proofErr w:type="spellStart"/>
      <w:r w:rsidR="00861662" w:rsidRPr="007725E8">
        <w:t>you</w:t>
      </w:r>
      <w:proofErr w:type="spellEnd"/>
      <w:r w:rsidR="00861662" w:rsidRPr="007725E8">
        <w:t xml:space="preserve"> in </w:t>
      </w:r>
      <w:proofErr w:type="spellStart"/>
      <w:r w:rsidR="00861662" w:rsidRPr="007725E8">
        <w:t>all</w:t>
      </w:r>
      <w:proofErr w:type="spellEnd"/>
      <w:r w:rsidR="00861662" w:rsidRPr="007725E8">
        <w:t xml:space="preserve"> the </w:t>
      </w:r>
      <w:proofErr w:type="spellStart"/>
      <w:r w:rsidR="00861662" w:rsidRPr="007725E8">
        <w:t>boys</w:t>
      </w:r>
      <w:proofErr w:type="spellEnd"/>
      <w:r w:rsidR="00861662" w:rsidRPr="007725E8">
        <w:t xml:space="preserve">’ </w:t>
      </w:r>
      <w:proofErr w:type="spellStart"/>
      <w:r w:rsidR="00861662" w:rsidRPr="007725E8">
        <w:t>good</w:t>
      </w:r>
      <w:proofErr w:type="spellEnd"/>
      <w:r w:rsidR="00861662" w:rsidRPr="007725E8">
        <w:t xml:space="preserve"> </w:t>
      </w:r>
      <w:proofErr w:type="spellStart"/>
      <w:r w:rsidR="00861662" w:rsidRPr="007725E8">
        <w:t>books</w:t>
      </w:r>
      <w:proofErr w:type="spellEnd"/>
      <w:r w:rsidR="00861662" w:rsidRPr="007725E8">
        <w:t xml:space="preserve">” [oto kilka inspirujących pomysłów na prezent, żeby spodobać się wszystkim chłopakom] oraz „Gucci </w:t>
      </w:r>
      <w:proofErr w:type="spellStart"/>
      <w:r w:rsidR="00861662" w:rsidRPr="007725E8">
        <w:t>Pour</w:t>
      </w:r>
      <w:proofErr w:type="spellEnd"/>
      <w:r w:rsidR="00861662" w:rsidRPr="007725E8">
        <w:t xml:space="preserve"> </w:t>
      </w:r>
      <w:proofErr w:type="spellStart"/>
      <w:r w:rsidR="00861662" w:rsidRPr="007725E8">
        <w:t>Homme</w:t>
      </w:r>
      <w:proofErr w:type="spellEnd"/>
      <w:r w:rsidR="00861662" w:rsidRPr="007725E8">
        <w:t xml:space="preserve"> </w:t>
      </w:r>
      <w:proofErr w:type="spellStart"/>
      <w:r w:rsidR="00861662" w:rsidRPr="007725E8">
        <w:t>Gift</w:t>
      </w:r>
      <w:proofErr w:type="spellEnd"/>
      <w:r w:rsidR="00861662" w:rsidRPr="007725E8">
        <w:t xml:space="preserve"> Set </w:t>
      </w:r>
      <w:proofErr w:type="spellStart"/>
      <w:r w:rsidR="00861662" w:rsidRPr="007725E8">
        <w:t>is</w:t>
      </w:r>
      <w:proofErr w:type="spellEnd"/>
      <w:r w:rsidR="00861662" w:rsidRPr="007725E8">
        <w:t xml:space="preserve"> </w:t>
      </w:r>
      <w:proofErr w:type="spellStart"/>
      <w:r w:rsidR="00861662" w:rsidRPr="007725E8">
        <w:t>sure</w:t>
      </w:r>
      <w:proofErr w:type="spellEnd"/>
      <w:r w:rsidR="00861662" w:rsidRPr="007725E8">
        <w:t xml:space="preserve"> to </w:t>
      </w:r>
      <w:proofErr w:type="spellStart"/>
      <w:r w:rsidR="00861662" w:rsidRPr="007725E8">
        <w:t>make</w:t>
      </w:r>
      <w:proofErr w:type="spellEnd"/>
      <w:r w:rsidR="00861662" w:rsidRPr="007725E8">
        <w:t xml:space="preserve"> </w:t>
      </w:r>
      <w:proofErr w:type="spellStart"/>
      <w:r w:rsidR="00861662" w:rsidRPr="007725E8">
        <w:t>you</w:t>
      </w:r>
      <w:proofErr w:type="spellEnd"/>
      <w:r w:rsidR="00861662" w:rsidRPr="007725E8">
        <w:t xml:space="preserve"> a big hit </w:t>
      </w:r>
      <w:proofErr w:type="spellStart"/>
      <w:r w:rsidR="00861662" w:rsidRPr="007725E8">
        <w:t>Christmas</w:t>
      </w:r>
      <w:proofErr w:type="spellEnd"/>
      <w:r w:rsidR="00861662" w:rsidRPr="007725E8">
        <w:t xml:space="preserve"> </w:t>
      </w:r>
      <w:proofErr w:type="spellStart"/>
      <w:r w:rsidR="00861662" w:rsidRPr="007725E8">
        <w:t>morning</w:t>
      </w:r>
      <w:proofErr w:type="spellEnd"/>
      <w:r w:rsidR="00861662" w:rsidRPr="007725E8">
        <w:t xml:space="preserve">!” [zestaw prezentowy Gucci </w:t>
      </w:r>
      <w:proofErr w:type="spellStart"/>
      <w:r w:rsidR="00861662" w:rsidRPr="007725E8">
        <w:t>Pour</w:t>
      </w:r>
      <w:proofErr w:type="spellEnd"/>
      <w:r w:rsidR="00861662" w:rsidRPr="007725E8">
        <w:t xml:space="preserve"> </w:t>
      </w:r>
      <w:proofErr w:type="spellStart"/>
      <w:r w:rsidR="00861662" w:rsidRPr="007725E8">
        <w:t>Homme</w:t>
      </w:r>
      <w:proofErr w:type="spellEnd"/>
      <w:r w:rsidR="00861662" w:rsidRPr="007725E8">
        <w:t xml:space="preserve"> zrobi </w:t>
      </w:r>
      <w:r w:rsidR="000F020B">
        <w:br/>
      </w:r>
      <w:r w:rsidR="00861662" w:rsidRPr="007725E8">
        <w:t xml:space="preserve">z </w:t>
      </w:r>
      <w:r w:rsidR="00E72A93">
        <w:t>c</w:t>
      </w:r>
      <w:r w:rsidR="00E72A93" w:rsidRPr="007725E8">
        <w:t xml:space="preserve">iebie </w:t>
      </w:r>
      <w:r w:rsidR="00861662" w:rsidRPr="007725E8">
        <w:t>świąteczny hit!]. Opinia innych jest tutaj zatem przedstawiana jako efekt konsumpcji. Chociaż jest to podstawa dyskursu reklamowego, to warto zauważyć, że nie ma porównywalnej cechy w zbiorze danych</w:t>
      </w:r>
      <w:r w:rsidR="00D25D27">
        <w:t xml:space="preserve"> dotyczących kobiet</w:t>
      </w:r>
      <w:r w:rsidR="00861662" w:rsidRPr="007725E8">
        <w:t>. Zakłada się najwyraźniej, że czytelnik pragnie bardziej aprobaty ze strony mężczyzn niż kobiet.</w:t>
      </w:r>
    </w:p>
    <w:p w14:paraId="0560C2D1" w14:textId="6416892E" w:rsidR="00C34D92" w:rsidRPr="005D2BAF" w:rsidRDefault="00E72A93" w:rsidP="0086691D">
      <w:pPr>
        <w:rPr>
          <w:sz w:val="20"/>
          <w:szCs w:val="20"/>
        </w:rPr>
      </w:pPr>
      <w:r>
        <w:t>„</w:t>
      </w:r>
      <w:r w:rsidR="00861662" w:rsidRPr="007725E8">
        <w:t>Girl(s)</w:t>
      </w:r>
      <w:r>
        <w:t>”</w:t>
      </w:r>
      <w:r w:rsidR="00861662" w:rsidRPr="007725E8">
        <w:t xml:space="preserve"> [dziewczyna/dziewczyny] i zaimek anaforyczny </w:t>
      </w:r>
      <w:r>
        <w:t>„</w:t>
      </w:r>
      <w:proofErr w:type="spellStart"/>
      <w:r w:rsidR="00861662" w:rsidRPr="007725E8">
        <w:t>she</w:t>
      </w:r>
      <w:proofErr w:type="spellEnd"/>
      <w:r>
        <w:t>”</w:t>
      </w:r>
      <w:r w:rsidR="00861662" w:rsidRPr="007725E8">
        <w:t xml:space="preserve"> [ona] </w:t>
      </w:r>
      <w:r w:rsidR="00CA7589">
        <w:t>można odnotować w</w:t>
      </w:r>
      <w:r w:rsidR="00861662" w:rsidRPr="007725E8">
        <w:t xml:space="preserve"> 82,35% wystąpień, natomiast </w:t>
      </w:r>
      <w:r>
        <w:t>„</w:t>
      </w:r>
      <w:proofErr w:type="spellStart"/>
      <w:r w:rsidR="00861662" w:rsidRPr="007725E8">
        <w:t>man</w:t>
      </w:r>
      <w:proofErr w:type="spellEnd"/>
      <w:r w:rsidR="00861662" w:rsidRPr="007725E8">
        <w:t>/men</w:t>
      </w:r>
      <w:r>
        <w:t>”</w:t>
      </w:r>
      <w:r w:rsidR="00861662" w:rsidRPr="007725E8">
        <w:t xml:space="preserve"> [mężczyzna/mężczyźni] i zaimek </w:t>
      </w:r>
      <w:r>
        <w:t>„</w:t>
      </w:r>
      <w:r w:rsidR="00861662" w:rsidRPr="007725E8">
        <w:t>he</w:t>
      </w:r>
      <w:r>
        <w:t>”</w:t>
      </w:r>
      <w:r w:rsidR="00861662" w:rsidRPr="007725E8">
        <w:t xml:space="preserve"> [on] występują razem jako aktor społeczny jedynie w 58,82% przypadków, co sprawia, że </w:t>
      </w:r>
      <w:r w:rsidR="00861662" w:rsidRPr="007725E8">
        <w:lastRenderedPageBreak/>
        <w:t xml:space="preserve">żeński aktor społeczny jest konstruowany jako bardziej aktywny, przynajmniej </w:t>
      </w:r>
      <w:r w:rsidR="008B18BC">
        <w:t>językowo</w:t>
      </w:r>
      <w:r w:rsidR="00861662" w:rsidRPr="007725E8">
        <w:t xml:space="preserve">. Biorąc pod uwagę, że do tej pory </w:t>
      </w:r>
      <w:r w:rsidR="00A368BB">
        <w:t>tożsamość zbiorowa</w:t>
      </w:r>
      <w:r w:rsidR="00861662" w:rsidRPr="007725E8">
        <w:t xml:space="preserve"> w badanym tekście był</w:t>
      </w:r>
      <w:r w:rsidR="00A368BB">
        <w:t>a</w:t>
      </w:r>
      <w:r w:rsidR="00861662" w:rsidRPr="007725E8">
        <w:t xml:space="preserve"> konstruowan</w:t>
      </w:r>
      <w:r w:rsidR="00A368BB">
        <w:t>a</w:t>
      </w:r>
      <w:r w:rsidR="00861662" w:rsidRPr="007725E8">
        <w:t xml:space="preserve"> zgodnie ze stereotypami dotyczącymi tożsamości płciowej jest to nieco zaskakujące. Analiza jakościowa typów procesów nie zmienia tego wyniku, ponieważ procesy mentalne w obu zbiorach danych to około 70% działań, co może być spowodowane typem reklamowanych produktów. Wyłaniający się obraz staje się jednak bardziej stereotypowy, jeśli spojrzymy na konkordancje najczęściej występujących czasowników w tej kategorii, czyli </w:t>
      </w:r>
      <w:r>
        <w:t>„</w:t>
      </w:r>
      <w:r w:rsidR="00861662" w:rsidRPr="007725E8">
        <w:t>love</w:t>
      </w:r>
      <w:r>
        <w:t>”</w:t>
      </w:r>
      <w:r w:rsidR="00861662" w:rsidRPr="007725E8">
        <w:t xml:space="preserve"> [kochać], </w:t>
      </w:r>
      <w:r>
        <w:t>„</w:t>
      </w:r>
      <w:proofErr w:type="spellStart"/>
      <w:r w:rsidR="00861662" w:rsidRPr="007725E8">
        <w:t>like</w:t>
      </w:r>
      <w:proofErr w:type="spellEnd"/>
      <w:r>
        <w:t>”</w:t>
      </w:r>
      <w:r w:rsidR="00861662" w:rsidRPr="007725E8">
        <w:t xml:space="preserve"> [lubić], </w:t>
      </w:r>
      <w:r>
        <w:t>„</w:t>
      </w:r>
      <w:r w:rsidR="00861662" w:rsidRPr="007725E8">
        <w:t>want</w:t>
      </w:r>
      <w:r>
        <w:t>”</w:t>
      </w:r>
      <w:r w:rsidR="00861662" w:rsidRPr="007725E8">
        <w:t xml:space="preserve"> [chcieć] i </w:t>
      </w:r>
      <w:r>
        <w:t>„</w:t>
      </w:r>
      <w:proofErr w:type="spellStart"/>
      <w:r w:rsidR="00861662" w:rsidRPr="007725E8">
        <w:t>wish</w:t>
      </w:r>
      <w:proofErr w:type="spellEnd"/>
      <w:r>
        <w:t>”</w:t>
      </w:r>
      <w:r w:rsidR="00861662" w:rsidRPr="007725E8">
        <w:t xml:space="preserve"> [życzyć sobie]. Żeńscy aktorzy społeczni kochają prezenty i magazyny plotkarskie, kochają </w:t>
      </w:r>
      <w:r>
        <w:t>„</w:t>
      </w:r>
      <w:proofErr w:type="spellStart"/>
      <w:r w:rsidR="00861662" w:rsidRPr="007725E8">
        <w:t>look</w:t>
      </w:r>
      <w:proofErr w:type="spellEnd"/>
      <w:r w:rsidR="00861662" w:rsidRPr="007725E8">
        <w:t xml:space="preserve"> </w:t>
      </w:r>
      <w:proofErr w:type="spellStart"/>
      <w:r w:rsidR="00861662" w:rsidRPr="007725E8">
        <w:t>their</w:t>
      </w:r>
      <w:proofErr w:type="spellEnd"/>
      <w:r w:rsidR="00861662" w:rsidRPr="007725E8">
        <w:t xml:space="preserve"> </w:t>
      </w:r>
      <w:proofErr w:type="spellStart"/>
      <w:r w:rsidR="00861662" w:rsidRPr="007725E8">
        <w:t>very</w:t>
      </w:r>
      <w:proofErr w:type="spellEnd"/>
      <w:r w:rsidR="00861662" w:rsidRPr="007725E8">
        <w:t xml:space="preserve"> </w:t>
      </w:r>
      <w:proofErr w:type="spellStart"/>
      <w:r w:rsidR="00861662" w:rsidRPr="007725E8">
        <w:t>best</w:t>
      </w:r>
      <w:proofErr w:type="spellEnd"/>
      <w:r>
        <w:t>”</w:t>
      </w:r>
      <w:r w:rsidR="00861662" w:rsidRPr="007725E8">
        <w:t xml:space="preserve"> [wyglądać jak najlepiej] </w:t>
      </w:r>
      <w:r w:rsidR="000F020B">
        <w:br/>
      </w:r>
      <w:r w:rsidR="00861662" w:rsidRPr="007725E8">
        <w:t xml:space="preserve">i </w:t>
      </w:r>
      <w:r>
        <w:t>„</w:t>
      </w:r>
      <w:proofErr w:type="spellStart"/>
      <w:r w:rsidR="00861662" w:rsidRPr="007725E8">
        <w:t>bringing</w:t>
      </w:r>
      <w:proofErr w:type="spellEnd"/>
      <w:r w:rsidR="00861662" w:rsidRPr="007725E8">
        <w:t xml:space="preserve"> the </w:t>
      </w:r>
      <w:proofErr w:type="spellStart"/>
      <w:r w:rsidR="00861662" w:rsidRPr="007725E8">
        <w:t>sweet</w:t>
      </w:r>
      <w:proofErr w:type="spellEnd"/>
      <w:r w:rsidR="00861662" w:rsidRPr="007725E8">
        <w:t xml:space="preserve"> </w:t>
      </w:r>
      <w:proofErr w:type="spellStart"/>
      <w:r w:rsidR="00861662" w:rsidRPr="007725E8">
        <w:t>scents</w:t>
      </w:r>
      <w:proofErr w:type="spellEnd"/>
      <w:r w:rsidR="00861662" w:rsidRPr="007725E8">
        <w:t xml:space="preserve"> of garden </w:t>
      </w:r>
      <w:proofErr w:type="spellStart"/>
      <w:r w:rsidR="00861662" w:rsidRPr="007725E8">
        <w:t>indoors</w:t>
      </w:r>
      <w:proofErr w:type="spellEnd"/>
      <w:r>
        <w:t>”</w:t>
      </w:r>
      <w:r w:rsidR="00861662" w:rsidRPr="007725E8">
        <w:t xml:space="preserve"> [cieszyć się zapachem ogrodu w domu]; lubią </w:t>
      </w:r>
      <w:r>
        <w:t>„</w:t>
      </w:r>
      <w:proofErr w:type="spellStart"/>
      <w:r w:rsidR="00861662" w:rsidRPr="007725E8">
        <w:t>their</w:t>
      </w:r>
      <w:proofErr w:type="spellEnd"/>
      <w:r w:rsidR="00861662" w:rsidRPr="007725E8">
        <w:t xml:space="preserve"> </w:t>
      </w:r>
      <w:proofErr w:type="spellStart"/>
      <w:r w:rsidR="00861662" w:rsidRPr="007725E8">
        <w:t>pamperting</w:t>
      </w:r>
      <w:proofErr w:type="spellEnd"/>
      <w:r w:rsidR="00861662" w:rsidRPr="007725E8">
        <w:t xml:space="preserve"> products</w:t>
      </w:r>
      <w:r>
        <w:t>”</w:t>
      </w:r>
      <w:r w:rsidR="00861662" w:rsidRPr="007725E8">
        <w:t xml:space="preserve"> [swoje produkty do pielęgnacji], chcą fryzury określonego rodzaju i pożądają </w:t>
      </w:r>
      <w:r>
        <w:t>„</w:t>
      </w:r>
      <w:r w:rsidR="00861662" w:rsidRPr="007725E8">
        <w:t xml:space="preserve">the </w:t>
      </w:r>
      <w:proofErr w:type="spellStart"/>
      <w:r w:rsidR="00861662" w:rsidRPr="007725E8">
        <w:t>latest</w:t>
      </w:r>
      <w:proofErr w:type="spellEnd"/>
      <w:r w:rsidR="00861662" w:rsidRPr="007725E8">
        <w:t xml:space="preserve"> </w:t>
      </w:r>
      <w:proofErr w:type="spellStart"/>
      <w:r w:rsidR="00861662" w:rsidRPr="007725E8">
        <w:t>catwalk</w:t>
      </w:r>
      <w:proofErr w:type="spellEnd"/>
      <w:r w:rsidR="00861662" w:rsidRPr="007725E8">
        <w:t xml:space="preserve"> </w:t>
      </w:r>
      <w:proofErr w:type="spellStart"/>
      <w:r w:rsidR="00861662" w:rsidRPr="007725E8">
        <w:t>loo</w:t>
      </w:r>
      <w:r>
        <w:t>k</w:t>
      </w:r>
      <w:proofErr w:type="spellEnd"/>
      <w:r>
        <w:t>”</w:t>
      </w:r>
      <w:r w:rsidR="00861662" w:rsidRPr="007725E8">
        <w:t xml:space="preserve"> [najnowszej stylizacji z wybiegu]. Mężczyźni natomiast, chociaż </w:t>
      </w:r>
      <w:r>
        <w:t>„</w:t>
      </w:r>
      <w:r w:rsidR="00861662" w:rsidRPr="007725E8">
        <w:t xml:space="preserve">love a </w:t>
      </w:r>
      <w:proofErr w:type="spellStart"/>
      <w:r w:rsidR="00861662" w:rsidRPr="007725E8">
        <w:t>little</w:t>
      </w:r>
      <w:proofErr w:type="spellEnd"/>
      <w:r w:rsidR="00861662" w:rsidRPr="007725E8">
        <w:t xml:space="preserve"> me-</w:t>
      </w:r>
      <w:proofErr w:type="spellStart"/>
      <w:r w:rsidR="00861662" w:rsidRPr="007725E8">
        <w:t>time</w:t>
      </w:r>
      <w:proofErr w:type="spellEnd"/>
      <w:r w:rsidR="00861662" w:rsidRPr="007725E8">
        <w:t xml:space="preserve"> </w:t>
      </w:r>
      <w:proofErr w:type="spellStart"/>
      <w:r w:rsidR="00861662" w:rsidRPr="007725E8">
        <w:t>too</w:t>
      </w:r>
      <w:proofErr w:type="spellEnd"/>
      <w:r>
        <w:t>”</w:t>
      </w:r>
      <w:r w:rsidR="00861662" w:rsidRPr="007725E8">
        <w:t xml:space="preserve"> [</w:t>
      </w:r>
      <w:r>
        <w:t xml:space="preserve">też </w:t>
      </w:r>
      <w:r w:rsidR="00605A7F">
        <w:t>chętnie poświęcają czas samym sobie</w:t>
      </w:r>
      <w:r w:rsidR="00861662" w:rsidRPr="007725E8">
        <w:t xml:space="preserve">] i </w:t>
      </w:r>
      <w:r>
        <w:t>„</w:t>
      </w:r>
      <w:proofErr w:type="spellStart"/>
      <w:r w:rsidR="00861662" w:rsidRPr="007725E8">
        <w:t>using</w:t>
      </w:r>
      <w:proofErr w:type="spellEnd"/>
      <w:r w:rsidR="00861662" w:rsidRPr="007725E8">
        <w:t xml:space="preserve"> the grooming </w:t>
      </w:r>
      <w:proofErr w:type="spellStart"/>
      <w:r w:rsidR="00861662" w:rsidRPr="007725E8">
        <w:t>gifts</w:t>
      </w:r>
      <w:proofErr w:type="spellEnd"/>
      <w:r>
        <w:t>”</w:t>
      </w:r>
      <w:r w:rsidR="00861662" w:rsidRPr="007725E8">
        <w:t xml:space="preserve"> [</w:t>
      </w:r>
      <w:r>
        <w:t>używają</w:t>
      </w:r>
      <w:r w:rsidRPr="007725E8">
        <w:t xml:space="preserve"> </w:t>
      </w:r>
      <w:r w:rsidR="00861662" w:rsidRPr="007725E8">
        <w:t xml:space="preserve">prezentów przeznaczonych do pielęgnacji] to kochają również </w:t>
      </w:r>
      <w:r>
        <w:t>„</w:t>
      </w:r>
      <w:r w:rsidR="00861662" w:rsidRPr="007725E8">
        <w:t xml:space="preserve">to be </w:t>
      </w:r>
      <w:proofErr w:type="spellStart"/>
      <w:r w:rsidR="00861662" w:rsidRPr="007725E8">
        <w:t>original</w:t>
      </w:r>
      <w:proofErr w:type="spellEnd"/>
      <w:r w:rsidR="00861662" w:rsidRPr="007725E8">
        <w:t xml:space="preserve"> and a bit </w:t>
      </w:r>
      <w:proofErr w:type="spellStart"/>
      <w:r w:rsidR="00861662" w:rsidRPr="007725E8">
        <w:t>daring</w:t>
      </w:r>
      <w:proofErr w:type="spellEnd"/>
      <w:r>
        <w:t>”</w:t>
      </w:r>
      <w:r w:rsidR="00861662" w:rsidRPr="007725E8">
        <w:t xml:space="preserve"> [być oryginalni i nieco odważni</w:t>
      </w:r>
      <w:r>
        <w:t>]</w:t>
      </w:r>
      <w:r w:rsidR="00861662" w:rsidRPr="007725E8">
        <w:t xml:space="preserve">, lubią </w:t>
      </w:r>
      <w:r>
        <w:t>„</w:t>
      </w:r>
      <w:proofErr w:type="spellStart"/>
      <w:r w:rsidR="00861662" w:rsidRPr="007725E8">
        <w:t>make</w:t>
      </w:r>
      <w:proofErr w:type="spellEnd"/>
      <w:r w:rsidR="00861662" w:rsidRPr="007725E8">
        <w:t xml:space="preserve"> </w:t>
      </w:r>
      <w:proofErr w:type="spellStart"/>
      <w:r w:rsidR="00861662" w:rsidRPr="007725E8">
        <w:t>an</w:t>
      </w:r>
      <w:proofErr w:type="spellEnd"/>
      <w:r w:rsidR="00861662" w:rsidRPr="007725E8">
        <w:t xml:space="preserve"> </w:t>
      </w:r>
      <w:proofErr w:type="spellStart"/>
      <w:r w:rsidR="00861662" w:rsidRPr="007725E8">
        <w:t>impact</w:t>
      </w:r>
      <w:proofErr w:type="spellEnd"/>
      <w:r>
        <w:t>”</w:t>
      </w:r>
      <w:r w:rsidR="00861662" w:rsidRPr="007725E8">
        <w:t xml:space="preserve"> [wywierać wpływ] i chcą </w:t>
      </w:r>
      <w:r>
        <w:t>„</w:t>
      </w:r>
      <w:proofErr w:type="spellStart"/>
      <w:r w:rsidR="00861662" w:rsidRPr="007725E8">
        <w:t>push</w:t>
      </w:r>
      <w:proofErr w:type="spellEnd"/>
      <w:r w:rsidR="00861662" w:rsidRPr="007725E8">
        <w:t xml:space="preserve"> the </w:t>
      </w:r>
      <w:proofErr w:type="spellStart"/>
      <w:r w:rsidR="00861662" w:rsidRPr="007725E8">
        <w:t>boundaries</w:t>
      </w:r>
      <w:proofErr w:type="spellEnd"/>
      <w:r>
        <w:t>”</w:t>
      </w:r>
      <w:r w:rsidR="00861662" w:rsidRPr="007725E8">
        <w:t xml:space="preserve"> [przesuwać granice]. Ponieważ ich domena źródłowa to</w:t>
      </w:r>
      <w:bookmarkStart w:id="10" w:name="page13"/>
      <w:bookmarkEnd w:id="10"/>
      <w:r w:rsidR="00552C1F">
        <w:t xml:space="preserve"> </w:t>
      </w:r>
      <w:r w:rsidR="00861662" w:rsidRPr="007725E8">
        <w:t>dynamika siły, to metafory te są nacechowane</w:t>
      </w:r>
      <w:r w:rsidR="00AF5A4C" w:rsidRPr="00AF5A4C">
        <w:t xml:space="preserve"> </w:t>
      </w:r>
      <w:r w:rsidR="00AF5A4C" w:rsidRPr="007725E8">
        <w:t>dynamicznie</w:t>
      </w:r>
      <w:r w:rsidR="00861662" w:rsidRPr="007725E8">
        <w:t xml:space="preserve">, czego brakuje </w:t>
      </w:r>
      <w:r w:rsidR="000F020B">
        <w:br/>
      </w:r>
      <w:r w:rsidR="00861662" w:rsidRPr="007725E8">
        <w:t xml:space="preserve">w </w:t>
      </w:r>
      <w:r w:rsidR="000C7B76">
        <w:t>określeniach dotyczących kobiet</w:t>
      </w:r>
      <w:r w:rsidR="00861662" w:rsidRPr="007725E8">
        <w:t>.</w:t>
      </w:r>
    </w:p>
    <w:p w14:paraId="6B68E8CD" w14:textId="4F999FB9" w:rsidR="00C34D92" w:rsidRPr="00B47153" w:rsidRDefault="00861662" w:rsidP="0086691D">
      <w:r w:rsidRPr="007725E8">
        <w:t xml:space="preserve">Po </w:t>
      </w:r>
      <w:r w:rsidR="00087B57">
        <w:t xml:space="preserve">przeanalizowaniu, </w:t>
      </w:r>
      <w:r w:rsidRPr="007725E8">
        <w:t>jacy aktorzy społeczni są reprezentowani</w:t>
      </w:r>
      <w:r w:rsidR="000C7B76">
        <w:t>,</w:t>
      </w:r>
      <w:r w:rsidRPr="007725E8">
        <w:t xml:space="preserve"> w jaki sposób oraz jakie wzorce działań i procesy są im przypisywane, </w:t>
      </w:r>
      <w:r w:rsidR="0087070F">
        <w:t>przejść należy do</w:t>
      </w:r>
      <w:r w:rsidR="00605A7F">
        <w:t xml:space="preserve"> kwestii</w:t>
      </w:r>
      <w:r w:rsidR="000C7B76">
        <w:t>,</w:t>
      </w:r>
      <w:r w:rsidRPr="007725E8">
        <w:t xml:space="preserve"> jak są oceniani </w:t>
      </w:r>
      <w:r w:rsidR="000C7B76">
        <w:t>owi aktorzy społeczni</w:t>
      </w:r>
      <w:r w:rsidR="000C7B76" w:rsidRPr="007725E8">
        <w:t xml:space="preserve"> </w:t>
      </w:r>
      <w:r w:rsidRPr="007725E8">
        <w:t>i ich działania</w:t>
      </w:r>
      <w:r w:rsidRPr="0037649D">
        <w:t>. Wiele aspektów ewaluacji w katalogu jest typow</w:t>
      </w:r>
      <w:r w:rsidR="00605A7F" w:rsidRPr="0037649D">
        <w:t>ych</w:t>
      </w:r>
      <w:r w:rsidRPr="0037649D">
        <w:t xml:space="preserve"> dla </w:t>
      </w:r>
      <w:r w:rsidR="000C7B76" w:rsidRPr="0037649D">
        <w:t xml:space="preserve">tego </w:t>
      </w:r>
      <w:r w:rsidR="00605A7F" w:rsidRPr="00791884">
        <w:t>gatunku – jej wyniki są</w:t>
      </w:r>
      <w:r w:rsidR="000C7B76" w:rsidRPr="00791884">
        <w:t xml:space="preserve"> </w:t>
      </w:r>
      <w:r w:rsidR="00605A7F" w:rsidRPr="00096975">
        <w:t xml:space="preserve">w większości </w:t>
      </w:r>
      <w:r w:rsidR="000C7B76" w:rsidRPr="00096975">
        <w:t>pozytywn</w:t>
      </w:r>
      <w:r w:rsidR="00605A7F" w:rsidRPr="00096975">
        <w:t>e</w:t>
      </w:r>
      <w:r w:rsidR="000C7B76" w:rsidRPr="00096975">
        <w:t xml:space="preserve">, a </w:t>
      </w:r>
      <w:r w:rsidR="00605A7F" w:rsidRPr="00096975">
        <w:t xml:space="preserve">te </w:t>
      </w:r>
      <w:r w:rsidR="000C7B76" w:rsidRPr="00096975">
        <w:t>negatywn</w:t>
      </w:r>
      <w:r w:rsidR="00B5372F" w:rsidRPr="00F8765F">
        <w:t>e</w:t>
      </w:r>
      <w:r w:rsidR="000C7B76" w:rsidRPr="00F8765F">
        <w:t xml:space="preserve"> zostaj</w:t>
      </w:r>
      <w:r w:rsidR="00605A7F" w:rsidRPr="00F8765F">
        <w:t>ą</w:t>
      </w:r>
      <w:r w:rsidR="000C7B76" w:rsidRPr="00613857">
        <w:t xml:space="preserve"> jedynie lekko zaakcentowan</w:t>
      </w:r>
      <w:r w:rsidR="00B5372F" w:rsidRPr="00613857">
        <w:t>e</w:t>
      </w:r>
      <w:r w:rsidRPr="00613857">
        <w:t xml:space="preserve"> (</w:t>
      </w:r>
      <w:r w:rsidR="000C7B76" w:rsidRPr="00613857">
        <w:t>„</w:t>
      </w:r>
      <w:proofErr w:type="spellStart"/>
      <w:r w:rsidRPr="00613857">
        <w:t>just</w:t>
      </w:r>
      <w:proofErr w:type="spellEnd"/>
      <w:r w:rsidRPr="00613857">
        <w:t xml:space="preserve"> a </w:t>
      </w:r>
      <w:proofErr w:type="spellStart"/>
      <w:r w:rsidRPr="00613857">
        <w:t>little</w:t>
      </w:r>
      <w:proofErr w:type="spellEnd"/>
      <w:r w:rsidRPr="00613857">
        <w:t xml:space="preserve"> bit </w:t>
      </w:r>
      <w:proofErr w:type="spellStart"/>
      <w:r w:rsidRPr="00613857">
        <w:t>naughty</w:t>
      </w:r>
      <w:proofErr w:type="spellEnd"/>
      <w:r w:rsidR="000C7B76" w:rsidRPr="00613857">
        <w:t>”</w:t>
      </w:r>
      <w:r w:rsidRPr="00613857">
        <w:t xml:space="preserve"> [tylko trochę niegrzeczny]) bądź </w:t>
      </w:r>
      <w:proofErr w:type="spellStart"/>
      <w:r w:rsidRPr="00613857">
        <w:t>implicytnie</w:t>
      </w:r>
      <w:proofErr w:type="spellEnd"/>
      <w:r w:rsidRPr="00613857">
        <w:t xml:space="preserve"> </w:t>
      </w:r>
      <w:r w:rsidR="000C7B76" w:rsidRPr="00613857">
        <w:t>za</w:t>
      </w:r>
      <w:r w:rsidRPr="00613857">
        <w:t>negowan</w:t>
      </w:r>
      <w:r w:rsidR="00B5372F" w:rsidRPr="00B47153">
        <w:t>e</w:t>
      </w:r>
      <w:r w:rsidRPr="00B47153">
        <w:t xml:space="preserve"> (</w:t>
      </w:r>
      <w:r w:rsidR="000C7B76" w:rsidRPr="00B47153">
        <w:t>„</w:t>
      </w:r>
      <w:proofErr w:type="spellStart"/>
      <w:r w:rsidRPr="00B47153">
        <w:t>Who</w:t>
      </w:r>
      <w:proofErr w:type="spellEnd"/>
      <w:r w:rsidRPr="00B47153">
        <w:t xml:space="preserve"> </w:t>
      </w:r>
      <w:proofErr w:type="spellStart"/>
      <w:r w:rsidRPr="00B47153">
        <w:t>says</w:t>
      </w:r>
      <w:proofErr w:type="spellEnd"/>
      <w:r w:rsidRPr="00B47153">
        <w:t xml:space="preserve"> men </w:t>
      </w:r>
      <w:proofErr w:type="spellStart"/>
      <w:r w:rsidRPr="00B47153">
        <w:t>are</w:t>
      </w:r>
      <w:proofErr w:type="spellEnd"/>
      <w:r w:rsidRPr="00B47153">
        <w:t xml:space="preserve"> hard to </w:t>
      </w:r>
      <w:proofErr w:type="spellStart"/>
      <w:r w:rsidRPr="00B47153">
        <w:t>buy</w:t>
      </w:r>
      <w:proofErr w:type="spellEnd"/>
      <w:r w:rsidRPr="00B47153">
        <w:t xml:space="preserve"> for?</w:t>
      </w:r>
      <w:r w:rsidR="000C7B76" w:rsidRPr="00B47153">
        <w:t>”</w:t>
      </w:r>
      <w:r w:rsidRPr="00B47153">
        <w:t xml:space="preserve"> [Kto mówi, że </w:t>
      </w:r>
      <w:r w:rsidR="0087070F" w:rsidRPr="00B47153">
        <w:t>trudno</w:t>
      </w:r>
      <w:r w:rsidRPr="00B47153">
        <w:t xml:space="preserve"> kupić coś dla mężczyzny?])</w:t>
      </w:r>
      <w:r w:rsidR="000C7B76" w:rsidRPr="00B47153">
        <w:t>.</w:t>
      </w:r>
      <w:r w:rsidRPr="00B47153">
        <w:t xml:space="preserve"> Kolejną ważną cechą jes</w:t>
      </w:r>
      <w:r w:rsidR="000C7B76" w:rsidRPr="00B47153">
        <w:t>t</w:t>
      </w:r>
      <w:r w:rsidRPr="00B47153">
        <w:t xml:space="preserve"> hiperbola wyrażana w prefiksach, superlatywach </w:t>
      </w:r>
      <w:r w:rsidR="000F020B">
        <w:br/>
      </w:r>
      <w:r w:rsidRPr="00B47153">
        <w:t>i połączeniach przysłówek + przymiotnik (</w:t>
      </w:r>
      <w:r w:rsidR="000C7B76" w:rsidRPr="00B47153">
        <w:t>„</w:t>
      </w:r>
      <w:r w:rsidRPr="00B47153">
        <w:t>ultra-</w:t>
      </w:r>
      <w:proofErr w:type="spellStart"/>
      <w:r w:rsidRPr="00B47153">
        <w:t>chic</w:t>
      </w:r>
      <w:proofErr w:type="spellEnd"/>
      <w:r w:rsidRPr="00B47153">
        <w:t>, ultra-hip cosmetic</w:t>
      </w:r>
      <w:r w:rsidR="000C7B76" w:rsidRPr="00B47153">
        <w:t>s”</w:t>
      </w:r>
      <w:r w:rsidRPr="00B47153">
        <w:t xml:space="preserve"> [ultra</w:t>
      </w:r>
      <w:r w:rsidR="005F61AB" w:rsidRPr="00B47153">
        <w:t xml:space="preserve"> </w:t>
      </w:r>
      <w:r w:rsidR="00605A7F" w:rsidRPr="00B47153">
        <w:t>modne</w:t>
      </w:r>
      <w:r w:rsidRPr="00B47153">
        <w:t>, ultra</w:t>
      </w:r>
      <w:r w:rsidR="00605A7F" w:rsidRPr="00B47153">
        <w:t xml:space="preserve"> </w:t>
      </w:r>
      <w:r w:rsidRPr="00B47153">
        <w:t xml:space="preserve">hip kosmetyki]; </w:t>
      </w:r>
      <w:r w:rsidR="000C7B76" w:rsidRPr="00B47153">
        <w:t>„</w:t>
      </w:r>
      <w:r w:rsidRPr="00B47153">
        <w:t>most-</w:t>
      </w:r>
      <w:proofErr w:type="spellStart"/>
      <w:r w:rsidRPr="00B47153">
        <w:t>wanted</w:t>
      </w:r>
      <w:proofErr w:type="spellEnd"/>
      <w:r w:rsidRPr="00B47153">
        <w:t xml:space="preserve"> </w:t>
      </w:r>
      <w:proofErr w:type="spellStart"/>
      <w:r w:rsidRPr="00B47153">
        <w:t>gifts</w:t>
      </w:r>
      <w:proofErr w:type="spellEnd"/>
      <w:r w:rsidR="000C7B76" w:rsidRPr="00B47153">
        <w:t>”</w:t>
      </w:r>
      <w:r w:rsidRPr="00B47153">
        <w:t xml:space="preserve"> [najbardziej pożądane prezenty]; </w:t>
      </w:r>
      <w:r w:rsidR="000C7B76" w:rsidRPr="00B47153">
        <w:t>„</w:t>
      </w:r>
      <w:r w:rsidRPr="00B47153">
        <w:t xml:space="preserve">a </w:t>
      </w:r>
      <w:proofErr w:type="spellStart"/>
      <w:r w:rsidRPr="00B47153">
        <w:t>truly</w:t>
      </w:r>
      <w:proofErr w:type="spellEnd"/>
      <w:r w:rsidRPr="00B47153">
        <w:t xml:space="preserve"> </w:t>
      </w:r>
      <w:proofErr w:type="spellStart"/>
      <w:r w:rsidRPr="00B47153">
        <w:t>luxurious</w:t>
      </w:r>
      <w:proofErr w:type="spellEnd"/>
      <w:r w:rsidRPr="00B47153">
        <w:t xml:space="preserve"> choice</w:t>
      </w:r>
      <w:r w:rsidR="000C7B76" w:rsidRPr="00B47153">
        <w:t>”</w:t>
      </w:r>
      <w:r w:rsidRPr="00B47153">
        <w:t xml:space="preserve"> [wyjątkowo luksusowy wybór]). Pozostałe elementy języka </w:t>
      </w:r>
      <w:r w:rsidR="00605A7F" w:rsidRPr="00B47153">
        <w:t>reklam</w:t>
      </w:r>
      <w:r w:rsidR="00DA06F4" w:rsidRPr="00B47153">
        <w:t>y</w:t>
      </w:r>
      <w:r w:rsidR="00CA7589">
        <w:t xml:space="preserve"> poddane ewaluacji</w:t>
      </w:r>
      <w:r w:rsidR="00605A7F" w:rsidRPr="00B47153">
        <w:t xml:space="preserve"> </w:t>
      </w:r>
      <w:r w:rsidRPr="00B47153">
        <w:t xml:space="preserve">powiązane z ewaluacją to </w:t>
      </w:r>
      <w:r w:rsidR="00605A7F" w:rsidRPr="00B47153">
        <w:t xml:space="preserve">nieprecyzyjny </w:t>
      </w:r>
      <w:r w:rsidRPr="00B47153">
        <w:t>język (</w:t>
      </w:r>
      <w:r w:rsidR="000C7B76" w:rsidRPr="00B47153">
        <w:t>„</w:t>
      </w:r>
      <w:proofErr w:type="spellStart"/>
      <w:r w:rsidRPr="00B47153">
        <w:t>ultimate</w:t>
      </w:r>
      <w:proofErr w:type="spellEnd"/>
      <w:r w:rsidRPr="00B47153">
        <w:t xml:space="preserve"> </w:t>
      </w:r>
      <w:proofErr w:type="spellStart"/>
      <w:r w:rsidRPr="00B47153">
        <w:t>gift</w:t>
      </w:r>
      <w:proofErr w:type="spellEnd"/>
      <w:r w:rsidR="000C7B76" w:rsidRPr="00B47153">
        <w:t>”</w:t>
      </w:r>
      <w:r w:rsidRPr="00B47153">
        <w:t xml:space="preserve"> [prezent idealny]), gry słowne (</w:t>
      </w:r>
      <w:r w:rsidR="000C7B76" w:rsidRPr="00B47153">
        <w:t>„</w:t>
      </w:r>
      <w:proofErr w:type="spellStart"/>
      <w:r w:rsidRPr="00B47153">
        <w:t>stocking-thrillers</w:t>
      </w:r>
      <w:proofErr w:type="spellEnd"/>
      <w:r w:rsidR="000C7B76" w:rsidRPr="00B47153">
        <w:t>”</w:t>
      </w:r>
      <w:r w:rsidRPr="00B47153">
        <w:t xml:space="preserve"> [</w:t>
      </w:r>
      <w:r w:rsidR="00401F0B" w:rsidRPr="00B47153">
        <w:t xml:space="preserve">połączenie </w:t>
      </w:r>
      <w:proofErr w:type="spellStart"/>
      <w:r w:rsidR="00401F0B" w:rsidRPr="00B47153">
        <w:rPr>
          <w:i/>
          <w:iCs/>
        </w:rPr>
        <w:t>stocking</w:t>
      </w:r>
      <w:proofErr w:type="spellEnd"/>
      <w:r w:rsidR="00401F0B" w:rsidRPr="00B47153">
        <w:rPr>
          <w:i/>
          <w:iCs/>
        </w:rPr>
        <w:t xml:space="preserve"> </w:t>
      </w:r>
      <w:proofErr w:type="spellStart"/>
      <w:r w:rsidR="00401F0B" w:rsidRPr="00B47153">
        <w:rPr>
          <w:i/>
          <w:iCs/>
        </w:rPr>
        <w:t>filler</w:t>
      </w:r>
      <w:proofErr w:type="spellEnd"/>
      <w:r w:rsidR="00401F0B" w:rsidRPr="00B47153">
        <w:t xml:space="preserve"> „podarunek świąteczny” i </w:t>
      </w:r>
      <w:r w:rsidR="00401F0B" w:rsidRPr="00B47153">
        <w:rPr>
          <w:i/>
          <w:iCs/>
        </w:rPr>
        <w:t>thriller</w:t>
      </w:r>
      <w:r w:rsidR="00401F0B" w:rsidRPr="00B47153">
        <w:t xml:space="preserve"> „dreszczowiec”]</w:t>
      </w:r>
      <w:r w:rsidRPr="00B47153">
        <w:t xml:space="preserve">) </w:t>
      </w:r>
      <w:r w:rsidR="00572806" w:rsidRPr="00B47153">
        <w:t>oraz</w:t>
      </w:r>
      <w:r w:rsidRPr="00B47153">
        <w:t xml:space="preserve"> potrójne używanie przymiotników (</w:t>
      </w:r>
      <w:r w:rsidR="000C7B76" w:rsidRPr="00B47153">
        <w:t>„</w:t>
      </w:r>
      <w:proofErr w:type="spellStart"/>
      <w:r w:rsidRPr="00B47153">
        <w:t>cool</w:t>
      </w:r>
      <w:proofErr w:type="spellEnd"/>
      <w:r w:rsidRPr="00B47153">
        <w:t xml:space="preserve">, </w:t>
      </w:r>
      <w:proofErr w:type="spellStart"/>
      <w:r w:rsidRPr="00B47153">
        <w:t>crisp</w:t>
      </w:r>
      <w:proofErr w:type="spellEnd"/>
      <w:r w:rsidRPr="00B47153">
        <w:t xml:space="preserve"> and </w:t>
      </w:r>
      <w:proofErr w:type="spellStart"/>
      <w:r w:rsidRPr="00B47153">
        <w:t>refreshing</w:t>
      </w:r>
      <w:proofErr w:type="spellEnd"/>
      <w:r w:rsidR="000C7B76" w:rsidRPr="00B47153">
        <w:t>”</w:t>
      </w:r>
      <w:r w:rsidRPr="00B47153">
        <w:t xml:space="preserve"> [super, świeży, orzeźwiający]) (</w:t>
      </w:r>
      <w:proofErr w:type="spellStart"/>
      <w:r w:rsidRPr="00B47153">
        <w:t>Myers</w:t>
      </w:r>
      <w:proofErr w:type="spellEnd"/>
      <w:r w:rsidRPr="00B47153">
        <w:t xml:space="preserve"> 1994: rozdział 5).</w:t>
      </w:r>
    </w:p>
    <w:p w14:paraId="57B78F68" w14:textId="54563052" w:rsidR="00C34D92" w:rsidRPr="00B47153" w:rsidRDefault="008973C1" w:rsidP="0086691D">
      <w:pPr>
        <w:rPr>
          <w:sz w:val="20"/>
          <w:szCs w:val="20"/>
        </w:rPr>
      </w:pPr>
      <w:r w:rsidRPr="00B47153">
        <w:t>Skupiając się na atrybutach przymiotnikowych dla aktorów społecznych, możemy ponownie zauważyć większe zróżnicowanie w przypadku aktorów płci męskiej</w:t>
      </w:r>
      <w:r w:rsidR="000337F0" w:rsidRPr="00B47153">
        <w:t>.</w:t>
      </w:r>
      <w:r w:rsidR="00861662" w:rsidRPr="00B47153">
        <w:t xml:space="preserve"> Dziesięć </w:t>
      </w:r>
      <w:r w:rsidR="00861662" w:rsidRPr="00B47153">
        <w:lastRenderedPageBreak/>
        <w:t xml:space="preserve">różnych atrybutów występuje 11 razy, co przekłada się na </w:t>
      </w:r>
      <w:r w:rsidR="006E74D7" w:rsidRPr="00B47153">
        <w:t xml:space="preserve">wskaźnik typu </w:t>
      </w:r>
      <w:proofErr w:type="spellStart"/>
      <w:r w:rsidR="006E74D7" w:rsidRPr="00B47153">
        <w:t>token</w:t>
      </w:r>
      <w:proofErr w:type="spellEnd"/>
      <w:r w:rsidR="00AF2B31" w:rsidRPr="0037649D">
        <w:rPr>
          <w:rStyle w:val="Odwoanieprzypisudolnego"/>
          <w:rFonts w:eastAsia="Georgia"/>
          <w:szCs w:val="24"/>
        </w:rPr>
        <w:footnoteReference w:id="10"/>
      </w:r>
      <w:r w:rsidR="00861662" w:rsidRPr="0037649D">
        <w:t xml:space="preserve"> o wartości 0,909</w:t>
      </w:r>
      <w:r w:rsidR="00AF2B31" w:rsidRPr="00791884">
        <w:t>,</w:t>
      </w:r>
      <w:r w:rsidR="00861662" w:rsidRPr="00791884">
        <w:t xml:space="preserve"> podczas gdy dla żeńskich aktorów społecznych stosunek ten wynosi jedynie 0,52. Potwierdza to ustalenia dotyczące często używanych</w:t>
      </w:r>
      <w:r w:rsidR="00861662" w:rsidRPr="0037649D">
        <w:t xml:space="preserve"> słów i reprezentacji aktorów społecznych (większa różnorodność metafor dla męskich aktorów społecznych </w:t>
      </w:r>
      <w:r w:rsidR="00AF2B31" w:rsidRPr="00791884">
        <w:t>–</w:t>
      </w:r>
      <w:r w:rsidR="00861662" w:rsidRPr="00791884">
        <w:t xml:space="preserve"> zob. </w:t>
      </w:r>
      <w:proofErr w:type="spellStart"/>
      <w:r w:rsidR="00861662" w:rsidRPr="00791884">
        <w:t>Koller</w:t>
      </w:r>
      <w:proofErr w:type="spellEnd"/>
      <w:r w:rsidR="00861662" w:rsidRPr="00791884">
        <w:t xml:space="preserve"> 2004). Wspólne dla męskich i żeńskich aktorów społecznych są zaledwie trzy atrybuty: </w:t>
      </w:r>
      <w:r w:rsidR="00AF2B31" w:rsidRPr="00791884">
        <w:t>„</w:t>
      </w:r>
      <w:proofErr w:type="spellStart"/>
      <w:r w:rsidR="00861662" w:rsidRPr="00791884">
        <w:t>cool</w:t>
      </w:r>
      <w:proofErr w:type="spellEnd"/>
      <w:r w:rsidR="00AF2B31" w:rsidRPr="00791884">
        <w:t>”</w:t>
      </w:r>
      <w:r w:rsidR="00861662" w:rsidRPr="00096975">
        <w:t xml:space="preserve"> [fajny], </w:t>
      </w:r>
      <w:r w:rsidR="00AF2B31" w:rsidRPr="00096975">
        <w:t>„</w:t>
      </w:r>
      <w:r w:rsidR="00861662" w:rsidRPr="00096975">
        <w:t>modern</w:t>
      </w:r>
      <w:r w:rsidR="00AF2B31" w:rsidRPr="00096975">
        <w:t>”</w:t>
      </w:r>
      <w:r w:rsidR="00861662" w:rsidRPr="00096975">
        <w:t xml:space="preserve"> [</w:t>
      </w:r>
      <w:r w:rsidR="000337F0" w:rsidRPr="00F8765F">
        <w:t>nowoczesny</w:t>
      </w:r>
      <w:r w:rsidR="00861662" w:rsidRPr="00F8765F">
        <w:t xml:space="preserve">] i </w:t>
      </w:r>
      <w:r w:rsidR="00AF2B31" w:rsidRPr="00F8765F">
        <w:t>„</w:t>
      </w:r>
      <w:proofErr w:type="spellStart"/>
      <w:r w:rsidR="00861662" w:rsidRPr="00F8765F">
        <w:t>fashion-conscious</w:t>
      </w:r>
      <w:proofErr w:type="spellEnd"/>
      <w:r w:rsidR="00AF2B31" w:rsidRPr="00613857">
        <w:t>”</w:t>
      </w:r>
      <w:r w:rsidR="00861662" w:rsidRPr="00613857">
        <w:t>/</w:t>
      </w:r>
      <w:r w:rsidR="00AF2B31" w:rsidRPr="00613857">
        <w:t>„</w:t>
      </w:r>
      <w:proofErr w:type="spellStart"/>
      <w:r w:rsidR="00AF2B31" w:rsidRPr="00613857">
        <w:t>f</w:t>
      </w:r>
      <w:r w:rsidR="00861662" w:rsidRPr="00613857">
        <w:t>ashion-forward</w:t>
      </w:r>
      <w:proofErr w:type="spellEnd"/>
      <w:r w:rsidR="00AF2B31" w:rsidRPr="00613857">
        <w:t>”</w:t>
      </w:r>
      <w:r w:rsidR="00861662" w:rsidRPr="00613857">
        <w:t xml:space="preserve"> [modny/na czasie]. </w:t>
      </w:r>
      <w:r w:rsidR="001F465B" w:rsidRPr="00613857">
        <w:t>Pozostałe dzielą się następująco</w:t>
      </w:r>
      <w:r w:rsidR="00861662" w:rsidRPr="00613857">
        <w:t>:</w:t>
      </w:r>
    </w:p>
    <w:p w14:paraId="42DBB177" w14:textId="5AF0729C" w:rsidR="00C34D92" w:rsidRPr="00B47153" w:rsidRDefault="00861662" w:rsidP="0086691D">
      <w:pPr>
        <w:rPr>
          <w:sz w:val="20"/>
          <w:szCs w:val="20"/>
        </w:rPr>
      </w:pPr>
      <w:r w:rsidRPr="00B47153">
        <w:rPr>
          <w:b/>
          <w:bCs/>
        </w:rPr>
        <w:t>żeńskie</w:t>
      </w:r>
      <w:r w:rsidRPr="00B47153">
        <w:t>: body-</w:t>
      </w:r>
      <w:proofErr w:type="spellStart"/>
      <w:r w:rsidRPr="00B47153">
        <w:t>conscious</w:t>
      </w:r>
      <w:proofErr w:type="spellEnd"/>
      <w:r w:rsidRPr="00B47153">
        <w:t xml:space="preserve">, </w:t>
      </w:r>
      <w:proofErr w:type="spellStart"/>
      <w:r w:rsidRPr="00B47153">
        <w:t>chic</w:t>
      </w:r>
      <w:proofErr w:type="spellEnd"/>
      <w:r w:rsidRPr="00B47153">
        <w:t xml:space="preserve">, </w:t>
      </w:r>
      <w:proofErr w:type="spellStart"/>
      <w:r w:rsidRPr="00B47153">
        <w:t>confident</w:t>
      </w:r>
      <w:proofErr w:type="spellEnd"/>
      <w:r w:rsidRPr="00B47153">
        <w:t xml:space="preserve">, elegant, </w:t>
      </w:r>
      <w:proofErr w:type="spellStart"/>
      <w:r w:rsidRPr="00B47153">
        <w:t>fabulous</w:t>
      </w:r>
      <w:proofErr w:type="spellEnd"/>
      <w:r w:rsidRPr="00B47153">
        <w:t xml:space="preserve">, </w:t>
      </w:r>
      <w:proofErr w:type="spellStart"/>
      <w:r w:rsidRPr="00B47153">
        <w:t>feminine</w:t>
      </w:r>
      <w:proofErr w:type="spellEnd"/>
      <w:r w:rsidRPr="00B47153">
        <w:t xml:space="preserve">, </w:t>
      </w:r>
      <w:proofErr w:type="spellStart"/>
      <w:r w:rsidRPr="00B47153">
        <w:t>glamour</w:t>
      </w:r>
      <w:proofErr w:type="spellEnd"/>
      <w:r w:rsidRPr="00B47153">
        <w:t xml:space="preserve"> </w:t>
      </w:r>
      <w:r w:rsidR="004B5A26" w:rsidRPr="00B47153">
        <w:t>(</w:t>
      </w:r>
      <w:r w:rsidRPr="00B47153">
        <w:t>używane przymiotnikowo</w:t>
      </w:r>
      <w:r w:rsidR="004B5A26" w:rsidRPr="00B47153">
        <w:t>)</w:t>
      </w:r>
      <w:r w:rsidRPr="00B47153">
        <w:t xml:space="preserve">, </w:t>
      </w:r>
      <w:proofErr w:type="spellStart"/>
      <w:r w:rsidRPr="00B47153">
        <w:t>gorgeous</w:t>
      </w:r>
      <w:proofErr w:type="spellEnd"/>
      <w:r w:rsidRPr="00B47153">
        <w:t>, (trend-)</w:t>
      </w:r>
      <w:proofErr w:type="spellStart"/>
      <w:r w:rsidRPr="00B47153">
        <w:t>savvy</w:t>
      </w:r>
      <w:proofErr w:type="spellEnd"/>
      <w:r w:rsidRPr="00B47153">
        <w:t xml:space="preserve">, </w:t>
      </w:r>
      <w:proofErr w:type="spellStart"/>
      <w:r w:rsidRPr="00B47153">
        <w:t>sophisticated</w:t>
      </w:r>
      <w:proofErr w:type="spellEnd"/>
      <w:r w:rsidRPr="00B47153">
        <w:t xml:space="preserve"> [dbająca o ciało</w:t>
      </w:r>
      <w:r w:rsidR="00203700" w:rsidRPr="00B47153">
        <w:t>/świadoma swego ciała</w:t>
      </w:r>
      <w:r w:rsidRPr="00B47153">
        <w:t xml:space="preserve">, szykowna, pewna siebie, elegancka, wspaniała, kobieca, </w:t>
      </w:r>
      <w:proofErr w:type="spellStart"/>
      <w:r w:rsidRPr="00B47153">
        <w:t>glamou</w:t>
      </w:r>
      <w:r w:rsidR="00384E93" w:rsidRPr="00B47153">
        <w:t>r</w:t>
      </w:r>
      <w:proofErr w:type="spellEnd"/>
      <w:r w:rsidRPr="00B47153">
        <w:t>, zniewalająca, znająca się (na trendach)</w:t>
      </w:r>
      <w:r w:rsidR="007B3517" w:rsidRPr="00B47153">
        <w:t>/śledząca trendy</w:t>
      </w:r>
      <w:r w:rsidRPr="00B47153">
        <w:t>, wyrafinowana]</w:t>
      </w:r>
    </w:p>
    <w:p w14:paraId="4493369B" w14:textId="53915944" w:rsidR="00C34D92" w:rsidRPr="00791884" w:rsidRDefault="00861662" w:rsidP="0086691D">
      <w:pPr>
        <w:rPr>
          <w:sz w:val="20"/>
          <w:szCs w:val="20"/>
        </w:rPr>
      </w:pPr>
      <w:r w:rsidRPr="00B47153">
        <w:rPr>
          <w:b/>
          <w:bCs/>
        </w:rPr>
        <w:t>męskie</w:t>
      </w:r>
      <w:r w:rsidRPr="00B47153">
        <w:t xml:space="preserve">: casual, </w:t>
      </w:r>
      <w:proofErr w:type="spellStart"/>
      <w:r w:rsidRPr="00B47153">
        <w:t>classic</w:t>
      </w:r>
      <w:proofErr w:type="spellEnd"/>
      <w:r w:rsidRPr="00B47153">
        <w:t xml:space="preserve">, </w:t>
      </w:r>
      <w:proofErr w:type="spellStart"/>
      <w:r w:rsidRPr="00B47153">
        <w:t>daring</w:t>
      </w:r>
      <w:proofErr w:type="spellEnd"/>
      <w:r w:rsidRPr="00B47153">
        <w:t xml:space="preserve">, </w:t>
      </w:r>
      <w:proofErr w:type="spellStart"/>
      <w:r w:rsidRPr="00B47153">
        <w:t>fun</w:t>
      </w:r>
      <w:proofErr w:type="spellEnd"/>
      <w:r w:rsidRPr="00B47153">
        <w:t xml:space="preserve">, hard to </w:t>
      </w:r>
      <w:proofErr w:type="spellStart"/>
      <w:r w:rsidRPr="00B47153">
        <w:t>buy</w:t>
      </w:r>
      <w:proofErr w:type="spellEnd"/>
      <w:r w:rsidRPr="00B47153">
        <w:t xml:space="preserve"> for, hard-</w:t>
      </w:r>
      <w:proofErr w:type="spellStart"/>
      <w:r w:rsidRPr="00B47153">
        <w:t>working</w:t>
      </w:r>
      <w:proofErr w:type="spellEnd"/>
      <w:r w:rsidRPr="00B47153">
        <w:t xml:space="preserve">, </w:t>
      </w:r>
      <w:proofErr w:type="spellStart"/>
      <w:r w:rsidRPr="00B47153">
        <w:t>naughty</w:t>
      </w:r>
      <w:proofErr w:type="spellEnd"/>
      <w:r w:rsidRPr="00B47153">
        <w:t xml:space="preserve">, </w:t>
      </w:r>
      <w:proofErr w:type="spellStart"/>
      <w:r w:rsidRPr="00B47153">
        <w:t>original</w:t>
      </w:r>
      <w:proofErr w:type="spellEnd"/>
      <w:r w:rsidRPr="00B47153">
        <w:t xml:space="preserve">, </w:t>
      </w:r>
      <w:proofErr w:type="spellStart"/>
      <w:r w:rsidRPr="00B47153">
        <w:t>serious</w:t>
      </w:r>
      <w:proofErr w:type="spellEnd"/>
      <w:r w:rsidRPr="00B47153">
        <w:t xml:space="preserve">, sporty, </w:t>
      </w:r>
      <w:proofErr w:type="spellStart"/>
      <w:r w:rsidRPr="00B47153">
        <w:t>wild</w:t>
      </w:r>
      <w:proofErr w:type="spellEnd"/>
      <w:r w:rsidRPr="00B47153">
        <w:t xml:space="preserve"> </w:t>
      </w:r>
      <w:proofErr w:type="spellStart"/>
      <w:r w:rsidRPr="00B47153">
        <w:t>at</w:t>
      </w:r>
      <w:proofErr w:type="spellEnd"/>
      <w:r w:rsidRPr="00B47153">
        <w:t xml:space="preserve"> </w:t>
      </w:r>
      <w:proofErr w:type="spellStart"/>
      <w:r w:rsidRPr="00B47153">
        <w:t>heart</w:t>
      </w:r>
      <w:proofErr w:type="spellEnd"/>
      <w:r w:rsidRPr="00B47153">
        <w:t xml:space="preserve"> [casualowy, klasyczny, odważny, zabawny, </w:t>
      </w:r>
      <w:r w:rsidR="00491126" w:rsidRPr="00B47153">
        <w:t>trudn</w:t>
      </w:r>
      <w:r w:rsidR="00E34E1F" w:rsidRPr="00B47153">
        <w:t>o dostępny</w:t>
      </w:r>
      <w:r w:rsidR="00B53C00" w:rsidRPr="0037649D">
        <w:t xml:space="preserve"> dla (mężczyzny)</w:t>
      </w:r>
      <w:r w:rsidRPr="0037649D">
        <w:t>, pracowity, niegrzeczny, oryginalny, poważny, wysportowany,</w:t>
      </w:r>
      <w:r w:rsidR="00B25370" w:rsidRPr="0037649D">
        <w:t xml:space="preserve"> nieokiełznany </w:t>
      </w:r>
      <w:r w:rsidR="000F020B">
        <w:br/>
      </w:r>
      <w:r w:rsidR="00B25370" w:rsidRPr="0037649D">
        <w:t>w głębi duszy</w:t>
      </w:r>
      <w:r w:rsidRPr="00791884">
        <w:t>]</w:t>
      </w:r>
    </w:p>
    <w:p w14:paraId="20FB4B91" w14:textId="0A1A7679" w:rsidR="00C34D92" w:rsidRPr="00EA26BD" w:rsidRDefault="000337F0" w:rsidP="0086691D">
      <w:pPr>
        <w:rPr>
          <w:sz w:val="20"/>
          <w:szCs w:val="20"/>
        </w:rPr>
      </w:pPr>
      <w:r w:rsidRPr="00791884">
        <w:t>W</w:t>
      </w:r>
      <w:r w:rsidR="00861662" w:rsidRPr="00791884">
        <w:t xml:space="preserve"> przypadku żeńskich aktorów społecznych skupiono się</w:t>
      </w:r>
      <w:r w:rsidRPr="00096975">
        <w:t xml:space="preserve"> wyraźnie</w:t>
      </w:r>
      <w:r w:rsidR="00861662" w:rsidRPr="00096975">
        <w:t xml:space="preserve"> na wyglądzie zewnętrznym, natomiast w przypadku męskich aktorów społecznych</w:t>
      </w:r>
      <w:r w:rsidR="005645E6" w:rsidRPr="00096975">
        <w:t xml:space="preserve"> –</w:t>
      </w:r>
      <w:r w:rsidR="00861662" w:rsidRPr="00096975">
        <w:t xml:space="preserve"> na cechach charakteru</w:t>
      </w:r>
      <w:r w:rsidR="00861662" w:rsidRPr="007725E8">
        <w:t xml:space="preserve">. </w:t>
      </w:r>
      <w:r w:rsidR="00E827D2">
        <w:t>Ewentualnym</w:t>
      </w:r>
      <w:r w:rsidR="00861662" w:rsidRPr="007725E8">
        <w:t xml:space="preserve"> wyjątkiem jest wyraz </w:t>
      </w:r>
      <w:r w:rsidR="00AF2B31">
        <w:t>„</w:t>
      </w:r>
      <w:proofErr w:type="spellStart"/>
      <w:r w:rsidR="00861662" w:rsidRPr="007725E8">
        <w:t>confident</w:t>
      </w:r>
      <w:proofErr w:type="spellEnd"/>
      <w:r w:rsidR="00AF2B31">
        <w:t>”</w:t>
      </w:r>
      <w:r w:rsidR="00861662" w:rsidRPr="007725E8">
        <w:t xml:space="preserve"> [pewna </w:t>
      </w:r>
      <w:r w:rsidR="00AF2B31">
        <w:t>(</w:t>
      </w:r>
      <w:r w:rsidR="00861662" w:rsidRPr="007725E8">
        <w:t>siebie</w:t>
      </w:r>
      <w:r w:rsidR="00AF2B31">
        <w:t>)</w:t>
      </w:r>
      <w:r w:rsidR="00861662" w:rsidRPr="007725E8">
        <w:t xml:space="preserve">], </w:t>
      </w:r>
      <w:r w:rsidR="00FE42A7">
        <w:t>występujący</w:t>
      </w:r>
      <w:r w:rsidR="00861662" w:rsidRPr="007725E8">
        <w:t xml:space="preserve"> jako część zdania </w:t>
      </w:r>
      <w:r w:rsidR="00AF2B31">
        <w:t>„</w:t>
      </w:r>
      <w:r w:rsidR="00861662" w:rsidRPr="007725E8">
        <w:t xml:space="preserve">products to </w:t>
      </w:r>
      <w:proofErr w:type="spellStart"/>
      <w:r w:rsidR="00861662" w:rsidRPr="007725E8">
        <w:t>help</w:t>
      </w:r>
      <w:proofErr w:type="spellEnd"/>
      <w:r w:rsidR="00861662" w:rsidRPr="007725E8">
        <w:t xml:space="preserve"> </w:t>
      </w:r>
      <w:proofErr w:type="spellStart"/>
      <w:r w:rsidR="00861662" w:rsidRPr="007725E8">
        <w:t>every</w:t>
      </w:r>
      <w:proofErr w:type="spellEnd"/>
      <w:r w:rsidR="00861662" w:rsidRPr="007725E8">
        <w:t xml:space="preserve"> </w:t>
      </w:r>
      <w:proofErr w:type="spellStart"/>
      <w:r w:rsidR="00861662" w:rsidRPr="007725E8">
        <w:t>girl</w:t>
      </w:r>
      <w:proofErr w:type="spellEnd"/>
      <w:r w:rsidR="00861662" w:rsidRPr="007725E8">
        <w:t xml:space="preserve"> </w:t>
      </w:r>
      <w:proofErr w:type="spellStart"/>
      <w:r w:rsidR="00861662" w:rsidRPr="007725E8">
        <w:t>feel</w:t>
      </w:r>
      <w:proofErr w:type="spellEnd"/>
      <w:r w:rsidR="00861662" w:rsidRPr="007725E8">
        <w:t xml:space="preserve"> </w:t>
      </w:r>
      <w:proofErr w:type="spellStart"/>
      <w:r w:rsidR="00861662" w:rsidRPr="007725E8">
        <w:t>confident</w:t>
      </w:r>
      <w:proofErr w:type="spellEnd"/>
      <w:r w:rsidR="00861662" w:rsidRPr="007725E8">
        <w:t xml:space="preserve"> and </w:t>
      </w:r>
      <w:proofErr w:type="spellStart"/>
      <w:r w:rsidR="00861662" w:rsidRPr="007725E8">
        <w:t>feminine</w:t>
      </w:r>
      <w:proofErr w:type="spellEnd"/>
      <w:r w:rsidR="00AF2B31">
        <w:t>”</w:t>
      </w:r>
      <w:r w:rsidR="00861662" w:rsidRPr="007725E8">
        <w:t xml:space="preserve"> [produkty, które </w:t>
      </w:r>
      <w:r w:rsidR="005645E6">
        <w:t>pomogą</w:t>
      </w:r>
      <w:r w:rsidR="00861662" w:rsidRPr="007725E8">
        <w:t xml:space="preserve"> każdej dziewczynie poczuć się pewnie i kobieco], </w:t>
      </w:r>
      <w:r>
        <w:t>ukazujący</w:t>
      </w:r>
      <w:r w:rsidRPr="007725E8">
        <w:t xml:space="preserve"> </w:t>
      </w:r>
      <w:r w:rsidR="00861662" w:rsidRPr="007725E8">
        <w:t xml:space="preserve">kobiety jako te, które muszą </w:t>
      </w:r>
      <w:r w:rsidR="006A37CB">
        <w:t>nabywać produkty</w:t>
      </w:r>
      <w:r w:rsidR="00861662" w:rsidRPr="007725E8">
        <w:t>, żeby zdobyć pewność siebie</w:t>
      </w:r>
      <w:r w:rsidR="005645E6">
        <w:t xml:space="preserve">, łącząc tym samym taką </w:t>
      </w:r>
      <w:r w:rsidR="00861662" w:rsidRPr="007725E8">
        <w:t xml:space="preserve">pewność siebie </w:t>
      </w:r>
      <w:r w:rsidR="000F020B">
        <w:br/>
      </w:r>
      <w:r w:rsidR="00861662" w:rsidRPr="007725E8">
        <w:t>z kobiecością. Ewaluacja jest więc tym z parametrów, który w najbardziej oczywisty sposób opiera się na stereotypach dotyczących płci.</w:t>
      </w:r>
    </w:p>
    <w:p w14:paraId="37B6A296" w14:textId="3F9871F4" w:rsidR="00C34D92" w:rsidRDefault="00861662" w:rsidP="0086691D">
      <w:r w:rsidRPr="007725E8">
        <w:t xml:space="preserve">Ze względu na wizualny charakter katalogu warto </w:t>
      </w:r>
      <w:r w:rsidR="00835A6C">
        <w:t>przyjrzeć się</w:t>
      </w:r>
      <w:r w:rsidRPr="007725E8">
        <w:t xml:space="preserve"> choć pobieżnie niektórym cechom semiotycznym.</w:t>
      </w:r>
      <w:r w:rsidR="00500C1A">
        <w:t xml:space="preserve"> Katalog,</w:t>
      </w:r>
      <w:r w:rsidRPr="007725E8">
        <w:t xml:space="preserve"> </w:t>
      </w:r>
      <w:r w:rsidR="00500C1A">
        <w:t>w</w:t>
      </w:r>
      <w:r w:rsidRPr="007725E8">
        <w:t>ydrukowany na błyszczącym, choć raczej cienkim papierze</w:t>
      </w:r>
      <w:r w:rsidR="00BB1C8F">
        <w:t xml:space="preserve"> wraz z ceną podaną na okładce</w:t>
      </w:r>
      <w:r w:rsidR="00500C1A">
        <w:t>,</w:t>
      </w:r>
      <w:r w:rsidR="004B00C9">
        <w:t xml:space="preserve"> </w:t>
      </w:r>
      <w:r w:rsidRPr="007725E8">
        <w:t>zdaje się skierowany na</w:t>
      </w:r>
      <w:r w:rsidR="00A51EE6">
        <w:t xml:space="preserve"> rynek towarów średniej jakości</w:t>
      </w:r>
      <w:r w:rsidRPr="007725E8">
        <w:t xml:space="preserve">. Jego format i wymiary 19x23 cm sprawiają, że mieści się w </w:t>
      </w:r>
      <w:r w:rsidR="00AF2B31">
        <w:t>plecaku</w:t>
      </w:r>
      <w:r w:rsidRPr="007725E8">
        <w:t xml:space="preserve">, </w:t>
      </w:r>
      <w:r w:rsidR="00AF2B31">
        <w:t>teczce</w:t>
      </w:r>
      <w:r w:rsidR="00AF2B31" w:rsidRPr="007725E8">
        <w:t xml:space="preserve"> </w:t>
      </w:r>
      <w:r w:rsidR="00AF2B31">
        <w:t>czy</w:t>
      </w:r>
      <w:r w:rsidRPr="007725E8">
        <w:t xml:space="preserve"> większości torebek. Rzut oka na okładkę (</w:t>
      </w:r>
      <w:r w:rsidR="00684332">
        <w:t>rys.</w:t>
      </w:r>
      <w:r w:rsidR="00684332" w:rsidRPr="007725E8">
        <w:t xml:space="preserve"> </w:t>
      </w:r>
      <w:r w:rsidR="001E6AE6">
        <w:t>4</w:t>
      </w:r>
      <w:r w:rsidRPr="007725E8">
        <w:t xml:space="preserve">) pozwala </w:t>
      </w:r>
      <w:r w:rsidR="00DF4694">
        <w:t>stwierdzić</w:t>
      </w:r>
      <w:r w:rsidRPr="007725E8">
        <w:t>, że producenci katalogu zaprojektowali go</w:t>
      </w:r>
      <w:r w:rsidR="003858E1">
        <w:t xml:space="preserve"> właśnie</w:t>
      </w:r>
      <w:r w:rsidRPr="007725E8">
        <w:t xml:space="preserve"> z myślą o torebkach.</w:t>
      </w:r>
      <w:bookmarkStart w:id="11" w:name="page14"/>
      <w:bookmarkEnd w:id="11"/>
    </w:p>
    <w:p w14:paraId="69E48F2D" w14:textId="77777777" w:rsidR="000337F0" w:rsidRDefault="000337F0" w:rsidP="006A2D58">
      <w:pPr>
        <w:rPr>
          <w:rFonts w:eastAsia="Georgia"/>
          <w:szCs w:val="24"/>
        </w:rPr>
      </w:pPr>
      <w:r w:rsidRPr="005D2BAF">
        <w:rPr>
          <w:noProof/>
          <w:lang w:val="pl-PL"/>
        </w:rPr>
        <w:lastRenderedPageBreak/>
        <w:drawing>
          <wp:inline distT="0" distB="0" distL="0" distR="0" wp14:anchorId="6D399D10" wp14:editId="564B674C">
            <wp:extent cx="5311775" cy="37598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448061" name="Picture 3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11775" cy="3759835"/>
                    </a:xfrm>
                    <a:prstGeom prst="rect">
                      <a:avLst/>
                    </a:prstGeom>
                    <a:noFill/>
                  </pic:spPr>
                </pic:pic>
              </a:graphicData>
            </a:graphic>
          </wp:inline>
        </w:drawing>
      </w:r>
    </w:p>
    <w:p w14:paraId="00558E1D" w14:textId="77777777" w:rsidR="000337F0" w:rsidRPr="005D2BAF" w:rsidRDefault="000337F0" w:rsidP="006A2D58">
      <w:r w:rsidRPr="00396591">
        <w:rPr>
          <w:b/>
          <w:bCs/>
        </w:rPr>
        <w:t xml:space="preserve">Rys. </w:t>
      </w:r>
      <w:r>
        <w:rPr>
          <w:b/>
          <w:bCs/>
        </w:rPr>
        <w:t>4</w:t>
      </w:r>
      <w:r w:rsidRPr="00396591">
        <w:t xml:space="preserve"> Okładka katalogu</w:t>
      </w:r>
    </w:p>
    <w:p w14:paraId="0137B023" w14:textId="77777777" w:rsidR="000337F0" w:rsidRPr="00EA26BD" w:rsidRDefault="000337F0" w:rsidP="0086691D"/>
    <w:p w14:paraId="74881CA5" w14:textId="581E8F5C" w:rsidR="00C34D92" w:rsidRPr="005D2BAF" w:rsidRDefault="00861662" w:rsidP="0086691D">
      <w:pPr>
        <w:rPr>
          <w:sz w:val="20"/>
          <w:szCs w:val="20"/>
        </w:rPr>
      </w:pPr>
      <w:r w:rsidRPr="007725E8">
        <w:t>Wszystkie</w:t>
      </w:r>
      <w:r w:rsidR="00B66899">
        <w:t xml:space="preserve"> przedstawione produkty</w:t>
      </w:r>
      <w:r w:rsidR="00F708BE">
        <w:t xml:space="preserve"> –</w:t>
      </w:r>
      <w:r w:rsidRPr="007725E8">
        <w:t xml:space="preserve"> poza trzema</w:t>
      </w:r>
      <w:r w:rsidR="00F708BE">
        <w:t xml:space="preserve"> –</w:t>
      </w:r>
      <w:r w:rsidRPr="007725E8">
        <w:t xml:space="preserve"> są skierowane do kobiet lub dziewcząt, a cieniowane różowe tło z kwiatowym wzorem wzmacnia kobiece konotacje. Wydaje się więc, że kobiety są nie tylko osobami, dla których przeznaczona jest większość produktów znajdujących się w katalogu, ale mogą być również głównymi </w:t>
      </w:r>
      <w:r w:rsidR="00A32391">
        <w:t>adresat</w:t>
      </w:r>
      <w:r w:rsidR="00600E41">
        <w:t>k</w:t>
      </w:r>
      <w:r w:rsidR="00A32391">
        <w:t>ami</w:t>
      </w:r>
      <w:r w:rsidRPr="007725E8">
        <w:t xml:space="preserve">, </w:t>
      </w:r>
      <w:r w:rsidR="00B66899">
        <w:t xml:space="preserve">do </w:t>
      </w:r>
      <w:r w:rsidR="00A32391">
        <w:t>których katalog ma przemawiać</w:t>
      </w:r>
      <w:r w:rsidRPr="007725E8">
        <w:t xml:space="preserve">. Firma odnosi się do </w:t>
      </w:r>
      <w:r w:rsidR="00600E41">
        <w:t>żeńskich</w:t>
      </w:r>
      <w:r w:rsidRPr="007725E8">
        <w:t xml:space="preserve"> odbiorców nie tylko za pośrednictwem okładki. </w:t>
      </w:r>
      <w:r w:rsidR="00E75646">
        <w:t>Informacja o autorze tekstu,</w:t>
      </w:r>
      <w:r w:rsidR="00B435C1">
        <w:t xml:space="preserve"> reprezentowany</w:t>
      </w:r>
      <w:r w:rsidR="00E75646">
        <w:t>m</w:t>
      </w:r>
      <w:r w:rsidR="00B435C1">
        <w:t xml:space="preserve"> przez</w:t>
      </w:r>
      <w:r w:rsidR="00B66899">
        <w:t xml:space="preserve"> </w:t>
      </w:r>
      <w:r w:rsidR="00B435C1">
        <w:t>logo, na które składa się nazwa firmy</w:t>
      </w:r>
      <w:r w:rsidR="000703ED">
        <w:t>,</w:t>
      </w:r>
      <w:r w:rsidR="00B435C1">
        <w:t xml:space="preserve"> </w:t>
      </w:r>
      <w:r w:rsidR="00E75646">
        <w:t>jest umieszczona</w:t>
      </w:r>
      <w:r w:rsidR="00D3202F">
        <w:t xml:space="preserve"> na środku strony</w:t>
      </w:r>
      <w:r w:rsidR="00162220">
        <w:t>.</w:t>
      </w:r>
      <w:r w:rsidR="000703ED">
        <w:t xml:space="preserve"> Nazwa firmy zapisana historycznym krojem czcionki (</w:t>
      </w:r>
      <w:proofErr w:type="spellStart"/>
      <w:r w:rsidR="000703ED">
        <w:t>Boots</w:t>
      </w:r>
      <w:proofErr w:type="spellEnd"/>
      <w:r w:rsidR="000703ED">
        <w:t xml:space="preserve"> </w:t>
      </w:r>
      <w:proofErr w:type="spellStart"/>
      <w:r w:rsidR="000703ED">
        <w:t>Heritage</w:t>
      </w:r>
      <w:proofErr w:type="spellEnd"/>
      <w:r w:rsidR="000703ED">
        <w:t xml:space="preserve">, bez </w:t>
      </w:r>
      <w:r w:rsidR="000703ED" w:rsidRPr="000337F0">
        <w:t>daty)</w:t>
      </w:r>
      <w:r w:rsidR="00613E59" w:rsidRPr="000337F0">
        <w:t xml:space="preserve">, łączy pochyły odręczny styl </w:t>
      </w:r>
      <w:r w:rsidR="000F020B">
        <w:br/>
      </w:r>
      <w:r w:rsidR="00613E59" w:rsidRPr="000337F0">
        <w:t>z zakrzywieniem do góry, które wskazuje na dynamiczność.</w:t>
      </w:r>
      <w:r w:rsidR="004B00C9" w:rsidRPr="000337F0">
        <w:t xml:space="preserve"> </w:t>
      </w:r>
      <w:r w:rsidRPr="006A2D58">
        <w:t>Centralne położenie</w:t>
      </w:r>
      <w:r w:rsidR="00960F5D" w:rsidRPr="006A2D58">
        <w:t xml:space="preserve"> </w:t>
      </w:r>
      <w:r w:rsidRPr="006A2D58">
        <w:t>struktury</w:t>
      </w:r>
      <w:r w:rsidR="00BF1E82" w:rsidRPr="006A2D58">
        <w:t>zuje</w:t>
      </w:r>
      <w:r w:rsidRPr="006A2D58">
        <w:t xml:space="preserve"> układ strony</w:t>
      </w:r>
      <w:r w:rsidR="00960F5D" w:rsidRPr="006A2D58">
        <w:t>, spełniając w ten sposób</w:t>
      </w:r>
      <w:r w:rsidR="004B00C9" w:rsidRPr="006A2D58">
        <w:t xml:space="preserve"> </w:t>
      </w:r>
      <w:r w:rsidRPr="006A2D58">
        <w:t>funkcję</w:t>
      </w:r>
      <w:r w:rsidR="000337F0" w:rsidRPr="000337F0">
        <w:t xml:space="preserve"> metatekstową</w:t>
      </w:r>
      <w:r w:rsidR="00960F5D" w:rsidRPr="006A2D58">
        <w:t>. Dodatkowo</w:t>
      </w:r>
      <w:r w:rsidRPr="006A2D58">
        <w:t>, wokół logo zastosowano efekt</w:t>
      </w:r>
      <w:r w:rsidR="00943D26" w:rsidRPr="006A2D58">
        <w:t xml:space="preserve"> aureoli</w:t>
      </w:r>
      <w:r w:rsidRPr="006A2D58">
        <w:t>, który p</w:t>
      </w:r>
      <w:r w:rsidR="00E94ACC">
        <w:t>odkreśla</w:t>
      </w:r>
      <w:r w:rsidRPr="006A2D58">
        <w:t xml:space="preserve"> najwyższą wartość firmy i wyróżnia ją, </w:t>
      </w:r>
      <w:r w:rsidR="005E32BA" w:rsidRPr="006A2D58">
        <w:t>podobnie jak</w:t>
      </w:r>
      <w:r w:rsidRPr="006A2D58">
        <w:t xml:space="preserve"> centralne </w:t>
      </w:r>
      <w:r w:rsidR="00752941" w:rsidRPr="006A2D58">
        <w:t>położenie logo</w:t>
      </w:r>
      <w:r w:rsidRPr="006A2D58">
        <w:t xml:space="preserve"> i układ produktów</w:t>
      </w:r>
      <w:r w:rsidR="005E32BA" w:rsidRPr="006A2D58">
        <w:t xml:space="preserve"> skierowanych w</w:t>
      </w:r>
      <w:r w:rsidR="00752941" w:rsidRPr="006A2D58">
        <w:t xml:space="preserve"> jego</w:t>
      </w:r>
      <w:r w:rsidR="005E32BA" w:rsidRPr="006A2D58">
        <w:t xml:space="preserve"> stronę</w:t>
      </w:r>
      <w:r w:rsidR="00752941" w:rsidRPr="006A2D58">
        <w:t>.</w:t>
      </w:r>
      <w:r w:rsidRPr="000337F0">
        <w:t xml:space="preserve"> (</w:t>
      </w:r>
      <w:proofErr w:type="spellStart"/>
      <w:r w:rsidRPr="000337F0">
        <w:t>Kress</w:t>
      </w:r>
      <w:proofErr w:type="spellEnd"/>
      <w:r w:rsidRPr="000337F0">
        <w:t xml:space="preserve"> and van </w:t>
      </w:r>
      <w:proofErr w:type="spellStart"/>
      <w:r w:rsidRPr="000337F0">
        <w:t>Leeuwen</w:t>
      </w:r>
      <w:proofErr w:type="spellEnd"/>
      <w:r w:rsidRPr="000337F0">
        <w:t xml:space="preserve"> 2006: 196, 209). </w:t>
      </w:r>
      <w:r w:rsidR="00145E4B" w:rsidRPr="000337F0">
        <w:t>Ta ideologiczna r</w:t>
      </w:r>
      <w:r w:rsidRPr="000337F0">
        <w:t xml:space="preserve">eprezentacja </w:t>
      </w:r>
      <w:r w:rsidR="006E44BD" w:rsidRPr="000337F0">
        <w:t>wy</w:t>
      </w:r>
      <w:r w:rsidRPr="000337F0">
        <w:t>twórcy tekstu powiązana</w:t>
      </w:r>
      <w:r w:rsidRPr="007725E8">
        <w:t xml:space="preserve"> jest </w:t>
      </w:r>
      <w:r w:rsidR="000F020B">
        <w:br/>
      </w:r>
      <w:r w:rsidRPr="007725E8">
        <w:t>z interpersonalną relacją poprzez umieszczenie imperatywu (</w:t>
      </w:r>
      <w:r w:rsidR="00AF2B31">
        <w:t>„</w:t>
      </w:r>
      <w:r w:rsidR="00BA059F">
        <w:t>poczuj się dobrze</w:t>
      </w:r>
      <w:r w:rsidR="00AF2B31">
        <w:t>”</w:t>
      </w:r>
      <w:r w:rsidRPr="007725E8">
        <w:t xml:space="preserve"> [</w:t>
      </w:r>
      <w:proofErr w:type="spellStart"/>
      <w:r w:rsidR="00BA059F">
        <w:t>feel</w:t>
      </w:r>
      <w:proofErr w:type="spellEnd"/>
      <w:r w:rsidR="00BA059F">
        <w:t xml:space="preserve"> </w:t>
      </w:r>
      <w:proofErr w:type="spellStart"/>
      <w:r w:rsidR="00BA059F">
        <w:t>good</w:t>
      </w:r>
      <w:proofErr w:type="spellEnd"/>
      <w:r w:rsidRPr="007725E8">
        <w:t xml:space="preserve">]) tuż poniżej logo. </w:t>
      </w:r>
      <w:r w:rsidR="00371B8E">
        <w:t>Wid</w:t>
      </w:r>
      <w:r w:rsidR="002C52A7">
        <w:t>ać</w:t>
      </w:r>
      <w:r w:rsidR="00371B8E">
        <w:t xml:space="preserve"> tu </w:t>
      </w:r>
      <w:r w:rsidRPr="006A2D58">
        <w:t>nie tylko bezpośredni zwrot do czytelnika</w:t>
      </w:r>
      <w:r w:rsidRPr="00371B8E">
        <w:t xml:space="preserve"> i</w:t>
      </w:r>
      <w:r w:rsidR="004B00C9">
        <w:t xml:space="preserve"> </w:t>
      </w:r>
      <w:r w:rsidR="00F47CBB">
        <w:t xml:space="preserve">umieszczanie </w:t>
      </w:r>
      <w:r w:rsidRPr="007725E8">
        <w:t xml:space="preserve">go blisko </w:t>
      </w:r>
      <w:r w:rsidR="00E94ACC">
        <w:t xml:space="preserve">logo </w:t>
      </w:r>
      <w:r w:rsidRPr="007725E8">
        <w:t xml:space="preserve">firmy, </w:t>
      </w:r>
      <w:r w:rsidR="00371B8E">
        <w:t>lecz także</w:t>
      </w:r>
      <w:r w:rsidR="00371B8E" w:rsidRPr="007725E8">
        <w:t xml:space="preserve"> </w:t>
      </w:r>
      <w:r w:rsidRPr="007725E8">
        <w:t>ustanawia</w:t>
      </w:r>
      <w:r w:rsidR="00F47CBB">
        <w:t>nie</w:t>
      </w:r>
      <w:r w:rsidRPr="007725E8">
        <w:t xml:space="preserve"> relacj</w:t>
      </w:r>
      <w:r w:rsidR="00F47CBB">
        <w:t>i</w:t>
      </w:r>
      <w:r w:rsidR="00AF2B31">
        <w:t xml:space="preserve"> </w:t>
      </w:r>
      <w:proofErr w:type="spellStart"/>
      <w:r w:rsidRPr="007725E8">
        <w:t>przyczynowo-skutkow</w:t>
      </w:r>
      <w:r w:rsidR="00F47CBB">
        <w:t>ej</w:t>
      </w:r>
      <w:proofErr w:type="spellEnd"/>
      <w:r w:rsidR="00AF2B31">
        <w:t xml:space="preserve"> </w:t>
      </w:r>
      <w:r w:rsidRPr="007725E8">
        <w:t xml:space="preserve">pomiędzy zakupem produktów firmy a dobrym samopoczuciem. W ten sposób konstruowana tożsamość zbiorowa </w:t>
      </w:r>
      <w:r w:rsidRPr="007725E8">
        <w:lastRenderedPageBreak/>
        <w:t xml:space="preserve">jest więc stereotypowym obrazem </w:t>
      </w:r>
      <w:r w:rsidRPr="006A2D58">
        <w:rPr>
          <w:i/>
          <w:iCs/>
        </w:rPr>
        <w:t>kobiecej kobiety</w:t>
      </w:r>
      <w:r w:rsidRPr="00371B8E">
        <w:t>, której</w:t>
      </w:r>
      <w:r w:rsidRPr="007725E8">
        <w:t xml:space="preserve"> samopoczucie jest związane </w:t>
      </w:r>
      <w:r w:rsidR="000F020B">
        <w:br/>
      </w:r>
      <w:r w:rsidRPr="007725E8">
        <w:t>z konsumpcją.</w:t>
      </w:r>
    </w:p>
    <w:p w14:paraId="38E6572F" w14:textId="5BA6760F" w:rsidR="00552C1F" w:rsidRDefault="00861662" w:rsidP="0086691D">
      <w:pPr>
        <w:rPr>
          <w:sz w:val="20"/>
          <w:szCs w:val="20"/>
        </w:rPr>
      </w:pPr>
      <w:r w:rsidRPr="007725E8">
        <w:t>Podsumowując, analiza tekst</w:t>
      </w:r>
      <w:r w:rsidR="000209A8">
        <w:t>u</w:t>
      </w:r>
      <w:r w:rsidRPr="007725E8">
        <w:t xml:space="preserve"> ukazuje </w:t>
      </w:r>
      <w:r w:rsidR="00371B8E">
        <w:t xml:space="preserve">występujące w nim </w:t>
      </w:r>
      <w:r w:rsidR="003A18FF">
        <w:t xml:space="preserve">dwa zjawiska: </w:t>
      </w:r>
      <w:r w:rsidRPr="007725E8">
        <w:t xml:space="preserve">segregację płci </w:t>
      </w:r>
      <w:r w:rsidR="003A18FF">
        <w:t xml:space="preserve">i </w:t>
      </w:r>
      <w:r w:rsidRPr="007725E8">
        <w:t>asymetrię</w:t>
      </w:r>
      <w:r w:rsidR="003A18FF">
        <w:t xml:space="preserve"> płci</w:t>
      </w:r>
      <w:r w:rsidR="00371B8E">
        <w:t>.</w:t>
      </w:r>
      <w:r w:rsidRPr="007725E8">
        <w:t xml:space="preserve"> Kosmetyki są </w:t>
      </w:r>
      <w:r w:rsidR="00CC6154">
        <w:t>przedstawione</w:t>
      </w:r>
      <w:r w:rsidRPr="007725E8">
        <w:t xml:space="preserve"> jako domena normatywnie kobieca, </w:t>
      </w:r>
      <w:r w:rsidR="000F020B">
        <w:br/>
      </w:r>
      <w:r w:rsidRPr="007725E8">
        <w:t xml:space="preserve">a autorzy tekstu </w:t>
      </w:r>
      <w:r w:rsidR="002C35BA">
        <w:t>odróżniają</w:t>
      </w:r>
      <w:r w:rsidRPr="007725E8">
        <w:t xml:space="preserve"> męskie kosmetyki od tych typowo kobiecych. Język użyty w zbiorach danych dotyczących męskich produktów jest również bardziej zróżnicowany i mniej banalny</w:t>
      </w:r>
      <w:r w:rsidRPr="00371B8E">
        <w:t xml:space="preserve">. </w:t>
      </w:r>
      <w:r w:rsidR="00A61C34">
        <w:t>Z użycia</w:t>
      </w:r>
      <w:r w:rsidR="00C579E9">
        <w:t xml:space="preserve"> określonych</w:t>
      </w:r>
      <w:r w:rsidR="006F382B">
        <w:t xml:space="preserve"> form</w:t>
      </w:r>
      <w:r w:rsidR="00A61C34">
        <w:t xml:space="preserve"> gramatycznych wynika, </w:t>
      </w:r>
      <w:r w:rsidR="00320401">
        <w:t>że kobiety postrzegane są jako</w:t>
      </w:r>
      <w:r w:rsidR="00A61C34">
        <w:t xml:space="preserve"> bardziej aktywne</w:t>
      </w:r>
      <w:r w:rsidRPr="00371B8E">
        <w:t>, ale ich</w:t>
      </w:r>
      <w:r w:rsidRPr="007725E8">
        <w:t xml:space="preserve"> działaniom brakuje </w:t>
      </w:r>
      <w:r w:rsidR="002B380E" w:rsidRPr="002B380E">
        <w:t>dynamiki, którą można</w:t>
      </w:r>
      <w:r w:rsidR="00BE18F1">
        <w:t xml:space="preserve"> obserwować u </w:t>
      </w:r>
      <w:r w:rsidR="002B380E" w:rsidRPr="002B380E">
        <w:t>mężczyzn</w:t>
      </w:r>
      <w:r w:rsidRPr="007725E8">
        <w:t xml:space="preserve">. Co więcej, są one przedstawiane jako </w:t>
      </w:r>
      <w:r w:rsidR="00371B8E">
        <w:t>t</w:t>
      </w:r>
      <w:r w:rsidR="00BE18F1">
        <w:t>e</w:t>
      </w:r>
      <w:r w:rsidR="00371B8E">
        <w:t xml:space="preserve">, którym </w:t>
      </w:r>
      <w:r w:rsidR="00695936">
        <w:t xml:space="preserve">raczej </w:t>
      </w:r>
      <w:r w:rsidR="00371B8E">
        <w:t>zależy na uczuciach, wyglądzie</w:t>
      </w:r>
      <w:r w:rsidRPr="007725E8">
        <w:t>, a także</w:t>
      </w:r>
      <w:r w:rsidR="00371B8E">
        <w:t xml:space="preserve"> na</w:t>
      </w:r>
      <w:r w:rsidRPr="007725E8">
        <w:t xml:space="preserve"> zyskani</w:t>
      </w:r>
      <w:r w:rsidR="00371B8E">
        <w:t>u</w:t>
      </w:r>
      <w:r w:rsidRPr="007725E8">
        <w:t xml:space="preserve"> aprobaty ze strony mężczyzn</w:t>
      </w:r>
      <w:r w:rsidR="00371B8E">
        <w:t xml:space="preserve"> –</w:t>
      </w:r>
      <w:r w:rsidR="00BE18F1">
        <w:t xml:space="preserve"> </w:t>
      </w:r>
      <w:r w:rsidR="00371B8E">
        <w:t xml:space="preserve">niż na </w:t>
      </w:r>
      <w:r w:rsidRPr="007725E8">
        <w:t xml:space="preserve">praktyczności i </w:t>
      </w:r>
      <w:r w:rsidR="001B287F">
        <w:t>sile charakteru</w:t>
      </w:r>
      <w:r w:rsidRPr="00371B8E">
        <w:t xml:space="preserve">. </w:t>
      </w:r>
      <w:r w:rsidRPr="006A2D58">
        <w:t>Powyższe</w:t>
      </w:r>
      <w:bookmarkStart w:id="12" w:name="page15"/>
      <w:bookmarkEnd w:id="12"/>
      <w:r w:rsidR="00552C1F" w:rsidRPr="006A2D58">
        <w:t xml:space="preserve"> </w:t>
      </w:r>
      <w:r w:rsidRPr="006A2D58">
        <w:t xml:space="preserve">przekonania dotyczące kobiet </w:t>
      </w:r>
      <w:r w:rsidR="003E74AF" w:rsidRPr="006A2D58">
        <w:t>wiążą się</w:t>
      </w:r>
      <w:r w:rsidRPr="006A2D58">
        <w:t xml:space="preserve"> z konsumpcją</w:t>
      </w:r>
      <w:r w:rsidR="00371B8E" w:rsidRPr="006A2D58">
        <w:t>:</w:t>
      </w:r>
      <w:r w:rsidRPr="006A2D58">
        <w:t xml:space="preserve"> tekst, jako przykład dyskursu reklamowego, przedstawia oferowane produkty jako pomoc w zdobyciu pewności siebie </w:t>
      </w:r>
      <w:r w:rsidR="000F020B">
        <w:br/>
      </w:r>
      <w:r w:rsidRPr="006A2D58">
        <w:t>i akceptacji, a tym samym dobrego samopoczucia.</w:t>
      </w:r>
    </w:p>
    <w:p w14:paraId="32D1CBA5" w14:textId="3EB0538A" w:rsidR="00C34D92" w:rsidRPr="005D2BAF" w:rsidRDefault="00861662" w:rsidP="0086691D">
      <w:pPr>
        <w:rPr>
          <w:sz w:val="20"/>
          <w:szCs w:val="20"/>
        </w:rPr>
      </w:pPr>
      <w:r w:rsidRPr="007725E8">
        <w:t>Wyniki analizy tekst</w:t>
      </w:r>
      <w:r w:rsidR="00835EAC">
        <w:t>u</w:t>
      </w:r>
      <w:r w:rsidRPr="007725E8">
        <w:t xml:space="preserve"> zostaną </w:t>
      </w:r>
      <w:r w:rsidR="006A14E5">
        <w:t>poniżej</w:t>
      </w:r>
      <w:r w:rsidRPr="007725E8">
        <w:t xml:space="preserve"> zinterpretowane w kontekście praktyki dyskursu.</w:t>
      </w:r>
    </w:p>
    <w:p w14:paraId="4663808F" w14:textId="0D819A12" w:rsidR="00C34D92" w:rsidRPr="005D2BAF" w:rsidRDefault="00861662" w:rsidP="006A2D58">
      <w:pPr>
        <w:pStyle w:val="Nagwek2"/>
      </w:pPr>
      <w:r w:rsidRPr="007725E8">
        <w:t>4.2</w:t>
      </w:r>
      <w:r w:rsidR="00621393">
        <w:t>.</w:t>
      </w:r>
      <w:r w:rsidRPr="007725E8">
        <w:t xml:space="preserve"> Analiza kontekstowa I: </w:t>
      </w:r>
      <w:r w:rsidR="00C579E9">
        <w:t>p</w:t>
      </w:r>
      <w:r w:rsidRPr="007725E8">
        <w:t>raktyka dyskursu</w:t>
      </w:r>
    </w:p>
    <w:p w14:paraId="4535F429" w14:textId="58657B37" w:rsidR="00C34D92" w:rsidRPr="005D2BAF" w:rsidRDefault="00C579E9" w:rsidP="006A2D58">
      <w:pPr>
        <w:ind w:firstLine="0"/>
        <w:rPr>
          <w:sz w:val="20"/>
          <w:szCs w:val="20"/>
        </w:rPr>
      </w:pPr>
      <w:r>
        <w:tab/>
      </w:r>
      <w:r w:rsidR="00861662" w:rsidRPr="007725E8">
        <w:t>Analiza tekst</w:t>
      </w:r>
      <w:r w:rsidR="00CD1654">
        <w:t xml:space="preserve">u </w:t>
      </w:r>
      <w:r w:rsidR="00861662" w:rsidRPr="007725E8">
        <w:t>wykazała, że katalog jest typowym przykładem swojego</w:t>
      </w:r>
      <w:r w:rsidR="00CD1654">
        <w:t xml:space="preserve"> gatunku</w:t>
      </w:r>
      <w:r w:rsidR="00861662" w:rsidRPr="007725E8">
        <w:t xml:space="preserve">. Spełnia  oczekiwania czytelników, </w:t>
      </w:r>
      <w:r w:rsidR="00AF28B7">
        <w:t xml:space="preserve">gdyż do jego </w:t>
      </w:r>
      <w:r w:rsidR="00625E94">
        <w:t>najistotniejszych</w:t>
      </w:r>
      <w:r w:rsidR="000852A0">
        <w:t xml:space="preserve"> elementów </w:t>
      </w:r>
      <w:r w:rsidR="00255456">
        <w:t>należą</w:t>
      </w:r>
      <w:r w:rsidR="000852A0">
        <w:t xml:space="preserve"> pozytywna ocena</w:t>
      </w:r>
      <w:r w:rsidR="00625E94">
        <w:t xml:space="preserve"> produktów </w:t>
      </w:r>
      <w:r w:rsidR="00861662" w:rsidRPr="007725E8">
        <w:t xml:space="preserve">i osób, którym </w:t>
      </w:r>
      <w:r w:rsidR="00C11E1E">
        <w:t>mogą być one</w:t>
      </w:r>
      <w:r w:rsidR="00861662" w:rsidRPr="007725E8">
        <w:t xml:space="preserve"> wręczane jako prezenty</w:t>
      </w:r>
      <w:r w:rsidR="005D468E">
        <w:t xml:space="preserve">, </w:t>
      </w:r>
      <w:r w:rsidR="00255456">
        <w:t>bezpośredni zwrot</w:t>
      </w:r>
      <w:r w:rsidR="007864C4">
        <w:t xml:space="preserve"> do ad</w:t>
      </w:r>
      <w:r w:rsidR="005D468E">
        <w:t>resata w celu jego zaangażowania, a także</w:t>
      </w:r>
      <w:r w:rsidR="00861662" w:rsidRPr="007725E8">
        <w:t xml:space="preserve"> </w:t>
      </w:r>
      <w:r w:rsidR="003818EB">
        <w:t>wykorzystanie</w:t>
      </w:r>
      <w:r w:rsidR="00861662" w:rsidRPr="007725E8">
        <w:t xml:space="preserve"> układ</w:t>
      </w:r>
      <w:r w:rsidR="003818EB">
        <w:t>u</w:t>
      </w:r>
      <w:r w:rsidR="00861662" w:rsidRPr="007725E8">
        <w:t xml:space="preserve"> treści i</w:t>
      </w:r>
      <w:r w:rsidR="004B00C9">
        <w:t xml:space="preserve"> </w:t>
      </w:r>
      <w:r w:rsidR="003818EB" w:rsidRPr="00371B8E">
        <w:t xml:space="preserve">jego </w:t>
      </w:r>
      <w:r w:rsidR="003818EB" w:rsidRPr="006A2D58">
        <w:t>tranzytywnośc</w:t>
      </w:r>
      <w:r w:rsidR="007E212C" w:rsidRPr="006A2D58">
        <w:t>i</w:t>
      </w:r>
      <w:r w:rsidR="00B66899">
        <w:t>,</w:t>
      </w:r>
      <w:r w:rsidR="007E212C" w:rsidRPr="006A2D58">
        <w:t xml:space="preserve"> </w:t>
      </w:r>
      <w:r w:rsidR="008C3AED">
        <w:t>mające</w:t>
      </w:r>
      <w:r w:rsidR="00861662" w:rsidRPr="007725E8">
        <w:t xml:space="preserve"> </w:t>
      </w:r>
      <w:r w:rsidR="007E212C">
        <w:t>stworzyć</w:t>
      </w:r>
      <w:r w:rsidR="00861662" w:rsidRPr="007725E8">
        <w:t xml:space="preserve"> związek między konsumpcją a dobrym samopoczuciem, </w:t>
      </w:r>
      <w:r w:rsidR="007E212C">
        <w:t>przekonując</w:t>
      </w:r>
      <w:r w:rsidR="00861662" w:rsidRPr="007725E8">
        <w:t xml:space="preserve"> odbiorcę do zakupu reklamowanego produktu.</w:t>
      </w:r>
    </w:p>
    <w:p w14:paraId="7B71D5E5" w14:textId="12D29B48" w:rsidR="00C34D92" w:rsidRPr="005D2BAF" w:rsidRDefault="00861662" w:rsidP="0086691D">
      <w:pPr>
        <w:rPr>
          <w:sz w:val="20"/>
          <w:szCs w:val="20"/>
        </w:rPr>
      </w:pPr>
      <w:r w:rsidRPr="007725E8">
        <w:t xml:space="preserve">Podczas gdy autorzy tekstu wykorzystują </w:t>
      </w:r>
      <w:r w:rsidR="002F69C8">
        <w:t>go</w:t>
      </w:r>
      <w:r w:rsidRPr="007725E8">
        <w:t xml:space="preserve"> do mediacji w ich relacji z odbiorcą,</w:t>
      </w:r>
      <w:r w:rsidR="00464B15">
        <w:t xml:space="preserve"> to </w:t>
      </w:r>
      <w:r w:rsidR="00464B15" w:rsidRPr="006A2D58">
        <w:rPr>
          <w:lang w:val="pl-PL"/>
        </w:rPr>
        <w:t>sam</w:t>
      </w:r>
      <w:r w:rsidR="00036435" w:rsidRPr="006A2D58">
        <w:rPr>
          <w:lang w:val="pl-PL"/>
        </w:rPr>
        <w:t xml:space="preserve"> </w:t>
      </w:r>
      <w:r w:rsidRPr="006A2D58">
        <w:rPr>
          <w:lang w:val="pl-PL"/>
        </w:rPr>
        <w:t>tekst</w:t>
      </w:r>
      <w:r w:rsidR="00464B15" w:rsidRPr="00B47153">
        <w:t xml:space="preserve"> oraz</w:t>
      </w:r>
      <w:r w:rsidRPr="006A2D58">
        <w:rPr>
          <w:lang w:val="pl-PL"/>
        </w:rPr>
        <w:t xml:space="preserve"> </w:t>
      </w:r>
      <w:r w:rsidR="00464B15" w:rsidRPr="006A2D58">
        <w:rPr>
          <w:lang w:val="pl-PL"/>
        </w:rPr>
        <w:t xml:space="preserve">sposób </w:t>
      </w:r>
      <w:r w:rsidRPr="006A2D58">
        <w:rPr>
          <w:lang w:val="pl-PL"/>
        </w:rPr>
        <w:t>jego produkcj</w:t>
      </w:r>
      <w:r w:rsidR="00464B15" w:rsidRPr="006A2D58">
        <w:rPr>
          <w:lang w:val="pl-PL"/>
        </w:rPr>
        <w:t>i</w:t>
      </w:r>
      <w:r w:rsidRPr="007725E8">
        <w:t xml:space="preserve"> </w:t>
      </w:r>
      <w:r w:rsidR="00464B15">
        <w:t>i</w:t>
      </w:r>
      <w:r w:rsidRPr="007725E8">
        <w:t xml:space="preserve"> dystrybucj</w:t>
      </w:r>
      <w:r w:rsidR="00464B15">
        <w:t>i</w:t>
      </w:r>
      <w:r w:rsidRPr="007725E8">
        <w:t xml:space="preserve"> również dostarczają informacji o tożsamości autora i</w:t>
      </w:r>
      <w:r w:rsidR="00CE0F81">
        <w:t xml:space="preserve"> prawdopodobnie</w:t>
      </w:r>
      <w:r w:rsidRPr="007725E8">
        <w:t xml:space="preserve"> aktywują u czytelnika pewne reprezentacje </w:t>
      </w:r>
      <w:proofErr w:type="spellStart"/>
      <w:r w:rsidRPr="007725E8">
        <w:t>socjokognitywne</w:t>
      </w:r>
      <w:proofErr w:type="spellEnd"/>
      <w:r w:rsidRPr="007725E8">
        <w:t xml:space="preserve"> dotyczące firmy. Katalogi są najczęściej produkowane przez agencje zewnętrzne, które tworzą je na podstawie informacji od klienta. </w:t>
      </w:r>
      <w:r w:rsidR="00CE0F81">
        <w:t>W ujęciu</w:t>
      </w:r>
      <w:r w:rsidRPr="007725E8">
        <w:t xml:space="preserve"> </w:t>
      </w:r>
      <w:proofErr w:type="spellStart"/>
      <w:r w:rsidRPr="007725E8">
        <w:t>Goffmana</w:t>
      </w:r>
      <w:proofErr w:type="spellEnd"/>
      <w:r w:rsidRPr="007725E8">
        <w:t xml:space="preserve"> (1979a)</w:t>
      </w:r>
      <w:r w:rsidR="000E2358">
        <w:t>,</w:t>
      </w:r>
      <w:r w:rsidRPr="007725E8">
        <w:t xml:space="preserve"> firma zlecająca wydanie katalogu jest</w:t>
      </w:r>
      <w:r w:rsidR="00AF2B31">
        <w:t xml:space="preserve"> zatem</w:t>
      </w:r>
      <w:r w:rsidRPr="007725E8">
        <w:t xml:space="preserve"> </w:t>
      </w:r>
      <w:r w:rsidR="00464B15">
        <w:t>zleceniodawcą</w:t>
      </w:r>
      <w:r w:rsidRPr="007725E8">
        <w:t xml:space="preserve"> (ang. </w:t>
      </w:r>
      <w:r w:rsidRPr="007725E8">
        <w:rPr>
          <w:i/>
          <w:iCs/>
        </w:rPr>
        <w:t>principal</w:t>
      </w:r>
      <w:r w:rsidRPr="007725E8">
        <w:t xml:space="preserve">), a agencja </w:t>
      </w:r>
      <w:r w:rsidR="00B66899">
        <w:t>–</w:t>
      </w:r>
      <w:r w:rsidR="00B66899" w:rsidRPr="007725E8">
        <w:t xml:space="preserve"> </w:t>
      </w:r>
      <w:r w:rsidRPr="007725E8">
        <w:t xml:space="preserve">autorem (ang. </w:t>
      </w:r>
      <w:proofErr w:type="spellStart"/>
      <w:r w:rsidRPr="007725E8">
        <w:rPr>
          <w:i/>
          <w:iCs/>
        </w:rPr>
        <w:t>author</w:t>
      </w:r>
      <w:proofErr w:type="spellEnd"/>
      <w:r w:rsidRPr="007725E8">
        <w:t xml:space="preserve">). Ponadto, powszechna praktyka zlecania stworzenia katalogu agencji jest </w:t>
      </w:r>
      <w:r w:rsidRPr="00464B15">
        <w:t xml:space="preserve">kosztownym </w:t>
      </w:r>
      <w:r w:rsidR="00464B15">
        <w:t>procesem, wymagającym</w:t>
      </w:r>
      <w:r w:rsidR="00464B15" w:rsidRPr="00464B15">
        <w:t xml:space="preserve"> </w:t>
      </w:r>
      <w:r w:rsidRPr="00464B15">
        <w:t>fac</w:t>
      </w:r>
      <w:r w:rsidRPr="007725E8">
        <w:t xml:space="preserve">howej wiedzy, dlatego też </w:t>
      </w:r>
      <w:r w:rsidR="00464B15">
        <w:t>wiąże się z kosztem, na który nie zawsze mogą sobie pozwolić małe przedsiębiorstwa.</w:t>
      </w:r>
      <w:r w:rsidRPr="007725E8">
        <w:t xml:space="preserve"> Jeśli katalog jest dystrybuowany </w:t>
      </w:r>
      <w:r w:rsidR="000F020B">
        <w:br/>
      </w:r>
      <w:r w:rsidRPr="007725E8">
        <w:t>w sklepie za darmo</w:t>
      </w:r>
      <w:r w:rsidR="00AF2B31">
        <w:t>,</w:t>
      </w:r>
      <w:r w:rsidRPr="007725E8">
        <w:t xml:space="preserve"> to zwrot z inwestycji musi nastąpić poprzez realizację celów tekstu, </w:t>
      </w:r>
      <w:r w:rsidR="00AF2B31">
        <w:t>na przykład</w:t>
      </w:r>
      <w:r w:rsidRPr="007725E8">
        <w:t xml:space="preserve"> wzrost</w:t>
      </w:r>
      <w:r w:rsidR="00464B15">
        <w:t xml:space="preserve"> </w:t>
      </w:r>
      <w:r w:rsidRPr="007725E8">
        <w:t xml:space="preserve">sprzedaży. Samo istnienie profesjonalnie zaprojektowanego katalogu dostępnego za darmo w sklepie wpływa więc na </w:t>
      </w:r>
      <w:r w:rsidR="001B6512">
        <w:t xml:space="preserve">wyobrażenia, jakie odbiorcy mają </w:t>
      </w:r>
      <w:r w:rsidR="000F020B">
        <w:br/>
      </w:r>
      <w:r w:rsidR="001B6512">
        <w:t>o producencie</w:t>
      </w:r>
      <w:r w:rsidRPr="007725E8">
        <w:t xml:space="preserve"> w tym wypadku jako firmy </w:t>
      </w:r>
      <w:r w:rsidR="004A7F6A">
        <w:t>liczącej się</w:t>
      </w:r>
      <w:r w:rsidRPr="007725E8">
        <w:t xml:space="preserve"> pod względem finansowym. Wszyscy </w:t>
      </w:r>
      <w:r w:rsidRPr="007725E8">
        <w:lastRenderedPageBreak/>
        <w:t xml:space="preserve">odbiorcy są potencjalnymi klientami, a biorąc pod uwagę fakt, że firma </w:t>
      </w:r>
      <w:proofErr w:type="spellStart"/>
      <w:r w:rsidRPr="007725E8">
        <w:t>Boots</w:t>
      </w:r>
      <w:proofErr w:type="spellEnd"/>
      <w:r w:rsidRPr="007725E8">
        <w:t xml:space="preserve"> to duży sprzedawca detaliczny na </w:t>
      </w:r>
      <w:r w:rsidR="004A7F6A">
        <w:t>popularnym</w:t>
      </w:r>
      <w:r w:rsidRPr="007725E8">
        <w:t xml:space="preserve"> rynku, to potencjalni klienci mogą być bardzo zróżnicowani. Tekst jednak </w:t>
      </w:r>
      <w:r w:rsidR="00094A40">
        <w:t>zawęża</w:t>
      </w:r>
      <w:r w:rsidRPr="007725E8">
        <w:t xml:space="preserve"> idealny typ klienta do heteroseksualnej kobiety.</w:t>
      </w:r>
    </w:p>
    <w:p w14:paraId="3B49D21B" w14:textId="349BD0FB" w:rsidR="00C34D92" w:rsidRPr="005D2BAF" w:rsidRDefault="00861662" w:rsidP="0086691D">
      <w:pPr>
        <w:rPr>
          <w:sz w:val="20"/>
          <w:szCs w:val="20"/>
        </w:rPr>
      </w:pPr>
      <w:r w:rsidRPr="007725E8">
        <w:t xml:space="preserve">Abstrahując od faktu, że zakupy same w sobie są w nauce postrzegane jako praktyka przypisywana konkretnej płci (Shaw 2010: rozdz. 5), </w:t>
      </w:r>
      <w:proofErr w:type="spellStart"/>
      <w:r w:rsidRPr="007725E8">
        <w:t>Boots</w:t>
      </w:r>
      <w:proofErr w:type="spellEnd"/>
      <w:r w:rsidRPr="007725E8">
        <w:t>, który handluje szeroką gamą produktów</w:t>
      </w:r>
      <w:r w:rsidR="00F111B9">
        <w:t>,</w:t>
      </w:r>
      <w:r w:rsidRPr="007725E8">
        <w:t xml:space="preserve"> </w:t>
      </w:r>
      <w:r w:rsidR="00B66899">
        <w:t>poczynając</w:t>
      </w:r>
      <w:r w:rsidR="00B66899" w:rsidRPr="007725E8">
        <w:t xml:space="preserve"> </w:t>
      </w:r>
      <w:r w:rsidRPr="007725E8">
        <w:t>od dziecięcych zabawek</w:t>
      </w:r>
      <w:r w:rsidR="00B66899">
        <w:t>,</w:t>
      </w:r>
      <w:r w:rsidRPr="007725E8">
        <w:t xml:space="preserve"> a </w:t>
      </w:r>
      <w:r w:rsidR="00B66899">
        <w:t>kończąc</w:t>
      </w:r>
      <w:r w:rsidR="00B66899" w:rsidRPr="007725E8">
        <w:t xml:space="preserve"> </w:t>
      </w:r>
      <w:r w:rsidRPr="007725E8">
        <w:t xml:space="preserve">na aparatach fotograficznych, określa samego siebie jako </w:t>
      </w:r>
      <w:r w:rsidR="00AF2B31">
        <w:t>„</w:t>
      </w:r>
      <w:r w:rsidRPr="007725E8">
        <w:t>sprzedawc</w:t>
      </w:r>
      <w:r w:rsidR="00CB01A2">
        <w:t>ę</w:t>
      </w:r>
      <w:r w:rsidRPr="007725E8">
        <w:t xml:space="preserve"> produktów z sektora zdrowia i urody</w:t>
      </w:r>
      <w:r w:rsidR="00AF2B31">
        <w:t>”</w:t>
      </w:r>
      <w:r w:rsidR="00AF2B31">
        <w:rPr>
          <w:rStyle w:val="Odwoanieprzypisudolnego"/>
        </w:rPr>
        <w:footnoteReference w:id="11"/>
      </w:r>
      <w:r w:rsidRPr="007725E8">
        <w:t>. Skoncentrowanie się na</w:t>
      </w:r>
      <w:r w:rsidR="00C1157F">
        <w:t xml:space="preserve"> tej</w:t>
      </w:r>
      <w:r w:rsidRPr="007725E8">
        <w:t xml:space="preserve"> </w:t>
      </w:r>
      <w:r w:rsidR="00FF547F">
        <w:t>części biznesu</w:t>
      </w:r>
      <w:r w:rsidR="00237DDB">
        <w:t>, skierowanego</w:t>
      </w:r>
      <w:r w:rsidR="00C1157F">
        <w:t xml:space="preserve"> do</w:t>
      </w:r>
      <w:r w:rsidR="00FF547F">
        <w:t xml:space="preserve"> kobiet</w:t>
      </w:r>
      <w:r w:rsidR="00237DDB">
        <w:t>,</w:t>
      </w:r>
      <w:r w:rsidRPr="007725E8">
        <w:t xml:space="preserve"> jest podkreślan</w:t>
      </w:r>
      <w:r w:rsidR="00B8624F">
        <w:t>e</w:t>
      </w:r>
      <w:r w:rsidR="00752E51">
        <w:t xml:space="preserve"> przez firmę poprzez wspieranie zdrowia kobiet oraz organizacji charytatywnych </w:t>
      </w:r>
      <w:r w:rsidR="006546DB">
        <w:t>dla dzieci.</w:t>
      </w:r>
      <w:r w:rsidRPr="007725E8">
        <w:t xml:space="preserve"> Na poziomie tekst</w:t>
      </w:r>
      <w:r w:rsidR="006546DB">
        <w:t>u</w:t>
      </w:r>
      <w:r w:rsidR="00E109BE">
        <w:t xml:space="preserve"> </w:t>
      </w:r>
      <w:r w:rsidRPr="007725E8">
        <w:t>analiza opisuje</w:t>
      </w:r>
      <w:r w:rsidR="00E109BE">
        <w:t>,</w:t>
      </w:r>
      <w:r w:rsidRPr="007725E8">
        <w:t xml:space="preserve"> jak kosmetyki są pozycjonowane jako normatywnie kobiece, co ma zachęcać czytelnika do kupowania ich jako prezentów. </w:t>
      </w:r>
      <w:r w:rsidR="00824C06">
        <w:t>M</w:t>
      </w:r>
      <w:r w:rsidRPr="007725E8">
        <w:t>ożna</w:t>
      </w:r>
      <w:r w:rsidR="00824C06">
        <w:t xml:space="preserve"> tu</w:t>
      </w:r>
      <w:r w:rsidRPr="007725E8">
        <w:t xml:space="preserve"> dodać, że styl tekstu przejmuje cechy magazynów plotkarskich</w:t>
      </w:r>
      <w:r w:rsidR="00E109BE">
        <w:t>,</w:t>
      </w:r>
      <w:r w:rsidRPr="007725E8">
        <w:t xml:space="preserve"> </w:t>
      </w:r>
      <w:r w:rsidR="007015C4">
        <w:t>jako</w:t>
      </w:r>
      <w:r w:rsidRPr="007725E8">
        <w:t xml:space="preserve"> gatunek skierowany do młodych kobiet </w:t>
      </w:r>
      <w:r w:rsidR="000F020B">
        <w:br/>
      </w:r>
      <w:r w:rsidRPr="007725E8">
        <w:t xml:space="preserve">i najczęściej </w:t>
      </w:r>
      <w:r w:rsidR="00CA55C8">
        <w:t xml:space="preserve">przez nie </w:t>
      </w:r>
      <w:r w:rsidRPr="007725E8">
        <w:t>czytany (</w:t>
      </w:r>
      <w:r w:rsidR="00AF2B31">
        <w:t>„</w:t>
      </w:r>
      <w:proofErr w:type="spellStart"/>
      <w:r w:rsidRPr="007725E8">
        <w:t>recreate</w:t>
      </w:r>
      <w:proofErr w:type="spellEnd"/>
      <w:r w:rsidRPr="007725E8">
        <w:t xml:space="preserve"> </w:t>
      </w:r>
      <w:proofErr w:type="spellStart"/>
      <w:r w:rsidRPr="007725E8">
        <w:t>your</w:t>
      </w:r>
      <w:proofErr w:type="spellEnd"/>
      <w:r w:rsidRPr="007725E8">
        <w:t xml:space="preserve"> </w:t>
      </w:r>
      <w:proofErr w:type="spellStart"/>
      <w:r w:rsidRPr="007725E8">
        <w:t>favourite</w:t>
      </w:r>
      <w:proofErr w:type="spellEnd"/>
      <w:r w:rsidRPr="007725E8">
        <w:t xml:space="preserve"> </w:t>
      </w:r>
      <w:proofErr w:type="spellStart"/>
      <w:r w:rsidRPr="007725E8">
        <w:t>celebrity</w:t>
      </w:r>
      <w:proofErr w:type="spellEnd"/>
      <w:r w:rsidRPr="007725E8">
        <w:t xml:space="preserve"> style</w:t>
      </w:r>
      <w:r w:rsidR="00AF2B31">
        <w:t>”</w:t>
      </w:r>
      <w:r w:rsidRPr="007725E8">
        <w:t xml:space="preserve"> [odtwórz styl swojej ulubionej gwiazdy])</w:t>
      </w:r>
      <w:r w:rsidR="007015C4">
        <w:t>.</w:t>
      </w:r>
      <w:r w:rsidRPr="007725E8">
        <w:t xml:space="preserve"> </w:t>
      </w:r>
      <w:r w:rsidR="007015C4">
        <w:t>Zakłada się przy tym wspólną wiedzę na ten temat</w:t>
      </w:r>
      <w:r w:rsidRPr="007725E8">
        <w:t xml:space="preserve"> </w:t>
      </w:r>
      <w:r w:rsidR="00AF2B31">
        <w:t>(„</w:t>
      </w:r>
      <w:proofErr w:type="spellStart"/>
      <w:r w:rsidRPr="007725E8">
        <w:t>look</w:t>
      </w:r>
      <w:proofErr w:type="spellEnd"/>
      <w:r w:rsidRPr="007725E8">
        <w:t xml:space="preserve"> A-list </w:t>
      </w:r>
      <w:proofErr w:type="spellStart"/>
      <w:r w:rsidRPr="007725E8">
        <w:t>gorgeous</w:t>
      </w:r>
      <w:proofErr w:type="spellEnd"/>
      <w:r w:rsidR="00AF2B31">
        <w:t>”</w:t>
      </w:r>
      <w:r w:rsidRPr="007725E8">
        <w:t xml:space="preserve"> [wyglądaj jak największe gwiazdy]). Konstrukcję tożsamości zbiorowej idealnego czytelnika opart</w:t>
      </w:r>
      <w:r w:rsidR="000C1A6C">
        <w:t>ą</w:t>
      </w:r>
      <w:r w:rsidRPr="007725E8">
        <w:t xml:space="preserve"> o reprezentacje </w:t>
      </w:r>
      <w:proofErr w:type="spellStart"/>
      <w:r w:rsidRPr="007725E8">
        <w:t>socjokognitywne</w:t>
      </w:r>
      <w:proofErr w:type="spellEnd"/>
      <w:r w:rsidRPr="007725E8">
        <w:t xml:space="preserve"> można zauważyć w pozornie dro</w:t>
      </w:r>
      <w:r w:rsidR="000C1A6C">
        <w:t>b</w:t>
      </w:r>
      <w:r w:rsidRPr="007725E8">
        <w:t xml:space="preserve">nych szczegółach takich jak używanie zaimka dzierżawczego w zdaniu </w:t>
      </w:r>
      <w:r w:rsidR="00AF2B31">
        <w:t>„</w:t>
      </w:r>
      <w:r w:rsidRPr="007725E8">
        <w:t xml:space="preserve">girls </w:t>
      </w:r>
      <w:proofErr w:type="spellStart"/>
      <w:r w:rsidRPr="007725E8">
        <w:t>who</w:t>
      </w:r>
      <w:proofErr w:type="spellEnd"/>
      <w:r w:rsidRPr="007725E8">
        <w:t xml:space="preserve"> </w:t>
      </w:r>
      <w:proofErr w:type="spellStart"/>
      <w:r w:rsidRPr="007725E8">
        <w:t>like</w:t>
      </w:r>
      <w:proofErr w:type="spellEnd"/>
      <w:r w:rsidRPr="007725E8">
        <w:t xml:space="preserve"> </w:t>
      </w:r>
      <w:proofErr w:type="spellStart"/>
      <w:r w:rsidRPr="007725E8">
        <w:t>their</w:t>
      </w:r>
      <w:proofErr w:type="spellEnd"/>
      <w:r w:rsidRPr="007725E8">
        <w:t xml:space="preserve"> </w:t>
      </w:r>
      <w:proofErr w:type="spellStart"/>
      <w:r w:rsidRPr="007725E8">
        <w:t>pampering</w:t>
      </w:r>
      <w:proofErr w:type="spellEnd"/>
      <w:r w:rsidRPr="007725E8">
        <w:t xml:space="preserve"> products</w:t>
      </w:r>
      <w:r w:rsidR="00AF2B31">
        <w:t>”</w:t>
      </w:r>
      <w:r w:rsidRPr="007725E8">
        <w:t xml:space="preserve"> [dziewczyny, które lubią swoje produkty pielęgnacyjne]</w:t>
      </w:r>
      <w:r w:rsidR="00642D94">
        <w:t>.</w:t>
      </w:r>
      <w:r w:rsidRPr="007725E8">
        <w:t xml:space="preserve"> </w:t>
      </w:r>
      <w:r w:rsidR="00642D94">
        <w:t>Tw</w:t>
      </w:r>
      <w:r w:rsidR="00EB57AD">
        <w:t>órcy tekstu reklamowego</w:t>
      </w:r>
      <w:r w:rsidR="00642D94">
        <w:t xml:space="preserve"> zakładają</w:t>
      </w:r>
      <w:r w:rsidRPr="007725E8">
        <w:t xml:space="preserve">, że kobiety rzeczywiście kupują takie produkty i ich używają. Wreszcie styl tekstu ma tendencję do imitowania języka mówionego, który jest kulturowo konotowany jako kobiecy, </w:t>
      </w:r>
      <w:r w:rsidR="00AF2B31">
        <w:t>na przykład</w:t>
      </w:r>
      <w:r w:rsidRPr="007725E8">
        <w:t xml:space="preserve"> stosowanie hiperboli (</w:t>
      </w:r>
      <w:r w:rsidR="00AF2B31">
        <w:t>„</w:t>
      </w:r>
      <w:r w:rsidRPr="007725E8">
        <w:t>ultra-</w:t>
      </w:r>
      <w:proofErr w:type="spellStart"/>
      <w:r w:rsidRPr="007725E8">
        <w:t>chic</w:t>
      </w:r>
      <w:proofErr w:type="spellEnd"/>
      <w:r w:rsidR="00AF2B31">
        <w:t>”</w:t>
      </w:r>
      <w:r w:rsidRPr="007725E8">
        <w:t xml:space="preserve"> [ultra</w:t>
      </w:r>
      <w:r w:rsidR="00E109BE">
        <w:t xml:space="preserve"> modny</w:t>
      </w:r>
      <w:r w:rsidRPr="007725E8">
        <w:t>]), wtrąceń (</w:t>
      </w:r>
      <w:r w:rsidR="00AF2B31">
        <w:t>„</w:t>
      </w:r>
      <w:proofErr w:type="spellStart"/>
      <w:r w:rsidRPr="007725E8">
        <w:t>oh-so-desirable</w:t>
      </w:r>
      <w:proofErr w:type="spellEnd"/>
      <w:r w:rsidR="00AF2B31">
        <w:t>”</w:t>
      </w:r>
      <w:r w:rsidRPr="007725E8">
        <w:t xml:space="preserve"> [och, jak</w:t>
      </w:r>
      <w:r w:rsidR="000C1A6C">
        <w:t>że</w:t>
      </w:r>
      <w:r w:rsidRPr="007725E8">
        <w:t xml:space="preserve"> pożądany]) i zdrobnień (</w:t>
      </w:r>
      <w:r w:rsidR="00AF2B31">
        <w:t>„</w:t>
      </w:r>
      <w:proofErr w:type="spellStart"/>
      <w:r w:rsidRPr="007725E8">
        <w:t>just</w:t>
      </w:r>
      <w:proofErr w:type="spellEnd"/>
      <w:r w:rsidRPr="007725E8">
        <w:t xml:space="preserve"> a </w:t>
      </w:r>
      <w:proofErr w:type="spellStart"/>
      <w:r w:rsidRPr="007725E8">
        <w:t>little</w:t>
      </w:r>
      <w:proofErr w:type="spellEnd"/>
      <w:r w:rsidRPr="007725E8">
        <w:t xml:space="preserve"> bit </w:t>
      </w:r>
      <w:proofErr w:type="spellStart"/>
      <w:r w:rsidRPr="007725E8">
        <w:t>naughty</w:t>
      </w:r>
      <w:proofErr w:type="spellEnd"/>
      <w:r w:rsidR="00AF2B31">
        <w:t>”</w:t>
      </w:r>
      <w:r w:rsidRPr="007725E8">
        <w:t xml:space="preserve"> [tylko </w:t>
      </w:r>
      <w:r w:rsidR="000C1A6C">
        <w:t>troszeczkę</w:t>
      </w:r>
      <w:r w:rsidRPr="007725E8">
        <w:t xml:space="preserve"> niegrzeczny], </w:t>
      </w:r>
      <w:r w:rsidR="00AF2B31">
        <w:t>„</w:t>
      </w:r>
      <w:proofErr w:type="spellStart"/>
      <w:r w:rsidRPr="007725E8">
        <w:t>pressie</w:t>
      </w:r>
      <w:proofErr w:type="spellEnd"/>
      <w:r w:rsidR="00AF2B31">
        <w:t>”</w:t>
      </w:r>
      <w:r w:rsidRPr="007725E8">
        <w:t xml:space="preserve"> [prezencik]; </w:t>
      </w:r>
      <w:r w:rsidR="00D656D3">
        <w:t>ostatni przykład</w:t>
      </w:r>
      <w:r w:rsidRPr="007725E8">
        <w:t xml:space="preserve"> można odnaleźć poza analizowanym zbiorem danych). Jeśli </w:t>
      </w:r>
      <w:r w:rsidR="00302DBB">
        <w:t>przyjmuje</w:t>
      </w:r>
      <w:r w:rsidR="00EB57AD">
        <w:t xml:space="preserve"> się</w:t>
      </w:r>
      <w:r w:rsidRPr="007725E8">
        <w:t>, że idealnym czytelnikiem jest kobieta, to skonstruowana dla niej tożsamość zbiorowa czyni z niej osobę heteroseksualną, o czym świadczą</w:t>
      </w:r>
      <w:bookmarkStart w:id="13" w:name="page16"/>
      <w:bookmarkEnd w:id="13"/>
      <w:r w:rsidR="00552C1F">
        <w:t xml:space="preserve"> </w:t>
      </w:r>
      <w:r w:rsidRPr="007725E8">
        <w:t xml:space="preserve">założenia, że jest </w:t>
      </w:r>
      <w:r w:rsidR="00AF2B31">
        <w:t>„</w:t>
      </w:r>
      <w:proofErr w:type="spellStart"/>
      <w:r w:rsidRPr="007725E8">
        <w:t>fashion-conscious</w:t>
      </w:r>
      <w:proofErr w:type="spellEnd"/>
      <w:r w:rsidRPr="007725E8">
        <w:t xml:space="preserve"> </w:t>
      </w:r>
      <w:proofErr w:type="spellStart"/>
      <w:r w:rsidRPr="007725E8">
        <w:t>man</w:t>
      </w:r>
      <w:proofErr w:type="spellEnd"/>
      <w:r w:rsidRPr="007725E8">
        <w:t xml:space="preserve"> in [</w:t>
      </w:r>
      <w:proofErr w:type="spellStart"/>
      <w:r w:rsidRPr="007725E8">
        <w:t>her</w:t>
      </w:r>
      <w:proofErr w:type="spellEnd"/>
      <w:r w:rsidRPr="007725E8">
        <w:t>] life</w:t>
      </w:r>
      <w:r w:rsidR="00AF2B31">
        <w:t>”</w:t>
      </w:r>
      <w:r w:rsidRPr="007725E8">
        <w:t xml:space="preserve"> [modny mężczyzna w [jej] życiu] i że kupuje w celu </w:t>
      </w:r>
      <w:r w:rsidR="00AF2B31">
        <w:t>„</w:t>
      </w:r>
      <w:proofErr w:type="spellStart"/>
      <w:r w:rsidRPr="007725E8">
        <w:t>get</w:t>
      </w:r>
      <w:proofErr w:type="spellEnd"/>
      <w:r w:rsidRPr="007725E8">
        <w:t xml:space="preserve">... in </w:t>
      </w:r>
      <w:proofErr w:type="spellStart"/>
      <w:r w:rsidRPr="007725E8">
        <w:t>all</w:t>
      </w:r>
      <w:proofErr w:type="spellEnd"/>
      <w:r w:rsidRPr="007725E8">
        <w:t xml:space="preserve"> the </w:t>
      </w:r>
      <w:proofErr w:type="spellStart"/>
      <w:r w:rsidRPr="007725E8">
        <w:t>boys</w:t>
      </w:r>
      <w:proofErr w:type="spellEnd"/>
      <w:r w:rsidRPr="007725E8">
        <w:t xml:space="preserve">' </w:t>
      </w:r>
      <w:proofErr w:type="spellStart"/>
      <w:r w:rsidRPr="007725E8">
        <w:t>good</w:t>
      </w:r>
      <w:proofErr w:type="spellEnd"/>
      <w:r w:rsidRPr="007725E8">
        <w:t xml:space="preserve"> </w:t>
      </w:r>
      <w:proofErr w:type="spellStart"/>
      <w:r w:rsidRPr="007725E8">
        <w:t>books</w:t>
      </w:r>
      <w:proofErr w:type="spellEnd"/>
      <w:r w:rsidR="00AF2B31">
        <w:t>”</w:t>
      </w:r>
      <w:r w:rsidRPr="007725E8">
        <w:t xml:space="preserve"> [spodobania się wszystkim chłopakom]. Wiek idealnego czytelnika jest mniej oczywisty, jednak nawiązania do magazynów plotkarskich, fakt, że </w:t>
      </w:r>
      <w:r w:rsidR="00E109BE">
        <w:t>„</w:t>
      </w:r>
      <w:proofErr w:type="spellStart"/>
      <w:r w:rsidRPr="007725E8">
        <w:t>girl</w:t>
      </w:r>
      <w:proofErr w:type="spellEnd"/>
      <w:r w:rsidRPr="007725E8">
        <w:t>(s)</w:t>
      </w:r>
      <w:r w:rsidR="00E109BE">
        <w:t>”</w:t>
      </w:r>
      <w:r w:rsidRPr="007725E8">
        <w:t xml:space="preserve"> [dziewczyna/</w:t>
      </w:r>
      <w:r w:rsidR="00AF2B31">
        <w:t>dziewczyny</w:t>
      </w:r>
      <w:r w:rsidRPr="007725E8">
        <w:t xml:space="preserve">] jest najczęstszym określeniem aktora społecznego w żeńskim zbiorze oraz brak aktorów społecznych </w:t>
      </w:r>
      <w:r w:rsidR="00AF2B31">
        <w:t>„</w:t>
      </w:r>
      <w:proofErr w:type="spellStart"/>
      <w:r w:rsidRPr="007725E8">
        <w:t>husband</w:t>
      </w:r>
      <w:proofErr w:type="spellEnd"/>
      <w:r w:rsidR="00AF2B31">
        <w:t>”</w:t>
      </w:r>
      <w:r w:rsidRPr="007725E8">
        <w:t xml:space="preserve"> [mąż] oraz </w:t>
      </w:r>
      <w:r w:rsidR="00AF2B31">
        <w:t>„</w:t>
      </w:r>
      <w:r w:rsidRPr="007725E8">
        <w:t>partner</w:t>
      </w:r>
      <w:r w:rsidR="00AF2B31">
        <w:t>”</w:t>
      </w:r>
      <w:r w:rsidRPr="007725E8">
        <w:t xml:space="preserve"> [partner] sugerują, że jest to kobieta w wieku około dwudziestu lat.</w:t>
      </w:r>
    </w:p>
    <w:p w14:paraId="5DBFA71D" w14:textId="70F767CE" w:rsidR="00C34D92" w:rsidRPr="00EA26BD" w:rsidRDefault="00861662" w:rsidP="0086691D">
      <w:pPr>
        <w:rPr>
          <w:sz w:val="20"/>
          <w:szCs w:val="20"/>
        </w:rPr>
      </w:pPr>
      <w:r w:rsidRPr="007725E8">
        <w:lastRenderedPageBreak/>
        <w:t xml:space="preserve">W ostatnim podpunkcie analizy </w:t>
      </w:r>
      <w:r w:rsidR="00CF33BE">
        <w:t>pokrótce przedstawione zostaną</w:t>
      </w:r>
      <w:r w:rsidRPr="007725E8">
        <w:t xml:space="preserve"> połączenia pomiędzy </w:t>
      </w:r>
      <w:r w:rsidR="00CF33BE" w:rsidRPr="008C537D">
        <w:t>płcią</w:t>
      </w:r>
      <w:r w:rsidR="004B00C9" w:rsidRPr="00B47153">
        <w:t xml:space="preserve"> </w:t>
      </w:r>
      <w:r w:rsidRPr="00464B15">
        <w:t>a tożsamością</w:t>
      </w:r>
      <w:r w:rsidRPr="007725E8">
        <w:t xml:space="preserve"> płciową, a także omówiona zostanie ich funkcja w </w:t>
      </w:r>
      <w:r w:rsidR="00AF2B31">
        <w:t>kapitalizmie konsumpcyjnym.</w:t>
      </w:r>
    </w:p>
    <w:p w14:paraId="1C7AFBDF" w14:textId="2FEA8FBB" w:rsidR="00C34D92" w:rsidRPr="005D2BAF" w:rsidRDefault="00861662" w:rsidP="008C537D">
      <w:pPr>
        <w:pStyle w:val="Nagwek2"/>
        <w:rPr>
          <w:sz w:val="20"/>
          <w:szCs w:val="20"/>
        </w:rPr>
      </w:pPr>
      <w:r w:rsidRPr="007725E8">
        <w:t>4.3</w:t>
      </w:r>
      <w:r w:rsidR="00621393">
        <w:t>.</w:t>
      </w:r>
      <w:r w:rsidRPr="007725E8">
        <w:t xml:space="preserve"> Analiza kontekstowa II: podłoże socjoekonomiczne</w:t>
      </w:r>
    </w:p>
    <w:p w14:paraId="444E96C0" w14:textId="7D0DCFB9" w:rsidR="00C34D92" w:rsidRPr="005D2BAF" w:rsidRDefault="00861662" w:rsidP="00621393">
      <w:pPr>
        <w:ind w:firstLine="0"/>
        <w:rPr>
          <w:sz w:val="20"/>
          <w:szCs w:val="20"/>
        </w:rPr>
      </w:pPr>
      <w:r w:rsidRPr="007725E8">
        <w:t xml:space="preserve">W niniejszym artykule </w:t>
      </w:r>
      <w:r w:rsidR="00AF2B31">
        <w:t>tożsamość płciowa</w:t>
      </w:r>
      <w:r w:rsidR="00AF2B31" w:rsidRPr="007725E8">
        <w:t xml:space="preserve"> </w:t>
      </w:r>
      <w:r w:rsidRPr="007725E8">
        <w:t xml:space="preserve">jest </w:t>
      </w:r>
      <w:r w:rsidR="00AF2B31">
        <w:t xml:space="preserve">rozumiana teoretycznie </w:t>
      </w:r>
      <w:r w:rsidRPr="007725E8">
        <w:t xml:space="preserve">jako reprezentacja </w:t>
      </w:r>
      <w:proofErr w:type="spellStart"/>
      <w:r w:rsidRPr="007725E8">
        <w:t>socjokognitywna</w:t>
      </w:r>
      <w:proofErr w:type="spellEnd"/>
      <w:r w:rsidRPr="007725E8">
        <w:t xml:space="preserve"> odzwierciedlana, negocjowana i kształtowana w </w:t>
      </w:r>
      <w:r w:rsidRPr="00464B15">
        <w:t xml:space="preserve">dyskursie, </w:t>
      </w:r>
      <w:r w:rsidR="00EC35CA" w:rsidRPr="008C537D">
        <w:t>podczas gdy</w:t>
      </w:r>
      <w:r w:rsidRPr="007725E8">
        <w:t xml:space="preserve"> </w:t>
      </w:r>
      <w:r w:rsidR="000F020B">
        <w:br/>
      </w:r>
      <w:r w:rsidRPr="007725E8">
        <w:t xml:space="preserve">w dyskursie normatywnym na ten temat </w:t>
      </w:r>
      <w:r w:rsidR="002A675D">
        <w:t>jest ona</w:t>
      </w:r>
      <w:r w:rsidR="00AF2B31" w:rsidRPr="007725E8">
        <w:t xml:space="preserve"> </w:t>
      </w:r>
      <w:r w:rsidRPr="007725E8">
        <w:t>postrzegan</w:t>
      </w:r>
      <w:r w:rsidR="00AF2B31">
        <w:t>a</w:t>
      </w:r>
      <w:r w:rsidRPr="007725E8">
        <w:t xml:space="preserve"> jako </w:t>
      </w:r>
      <w:r w:rsidR="00AF2B31">
        <w:t xml:space="preserve">cecha </w:t>
      </w:r>
      <w:r w:rsidRPr="007725E8">
        <w:t xml:space="preserve">determinowana biologicznie lub kształtowana społecznie. Chociaż drugi pogląd jest nieco </w:t>
      </w:r>
      <w:r w:rsidR="00464B15">
        <w:t>bardziej powierzchowny</w:t>
      </w:r>
      <w:r w:rsidRPr="007725E8">
        <w:t xml:space="preserve">, to oba założenia </w:t>
      </w:r>
      <w:proofErr w:type="spellStart"/>
      <w:r w:rsidRPr="007725E8">
        <w:t>konceptualizują</w:t>
      </w:r>
      <w:proofErr w:type="spellEnd"/>
      <w:r w:rsidRPr="007725E8">
        <w:t xml:space="preserve"> </w:t>
      </w:r>
      <w:r w:rsidR="00AF2B31">
        <w:t>ten typ tożsamości</w:t>
      </w:r>
      <w:r w:rsidR="00AF2B31" w:rsidRPr="007725E8">
        <w:t xml:space="preserve"> </w:t>
      </w:r>
      <w:r w:rsidRPr="007725E8">
        <w:t xml:space="preserve">jako kategorię binarną, w której dwie grupy społeczne </w:t>
      </w:r>
      <w:r w:rsidR="00AF2B31">
        <w:t>konstytuują</w:t>
      </w:r>
      <w:r w:rsidR="00AF2B31" w:rsidRPr="007725E8">
        <w:t xml:space="preserve"> </w:t>
      </w:r>
      <w:r w:rsidRPr="007725E8">
        <w:t>si</w:t>
      </w:r>
      <w:r w:rsidR="00AF2B31">
        <w:t>ebie</w:t>
      </w:r>
      <w:r w:rsidRPr="007725E8">
        <w:t xml:space="preserve"> nawzajem. Zgodnie z poglądami biologów, które wraz z rozwojem psychologii ewolucyjnej zyskały ostatnio na znaczeniu (por. również Cameron 2007, Fine 2010)</w:t>
      </w:r>
      <w:r w:rsidR="00E342D4">
        <w:t>,</w:t>
      </w:r>
      <w:r w:rsidRPr="007725E8">
        <w:t xml:space="preserve"> płeć jako </w:t>
      </w:r>
      <w:r w:rsidR="00AF2B31">
        <w:t>cecha</w:t>
      </w:r>
      <w:r w:rsidR="00AF2B31" w:rsidRPr="007725E8">
        <w:t xml:space="preserve"> </w:t>
      </w:r>
      <w:r w:rsidRPr="007725E8">
        <w:t>biologiczn</w:t>
      </w:r>
      <w:r w:rsidR="00AF2B31">
        <w:t>a</w:t>
      </w:r>
      <w:r w:rsidRPr="007725E8">
        <w:t xml:space="preserve"> determinuje tożsamość płciową tak, że mężczyźni identyfikują się jako męscy, a kobiety jako kobiece. Taka identyfikacja będzie determinować potem zachowanie</w:t>
      </w:r>
      <w:r w:rsidR="00AF2B31">
        <w:t>,</w:t>
      </w:r>
      <w:r w:rsidRPr="007725E8">
        <w:t xml:space="preserve"> </w:t>
      </w:r>
      <w:r w:rsidR="00AF2B31">
        <w:t>na przykład</w:t>
      </w:r>
      <w:r w:rsidRPr="007725E8">
        <w:t xml:space="preserve"> użycie </w:t>
      </w:r>
      <w:r w:rsidR="00AF2B31">
        <w:t>języka, a jednym z jej elementów definiujących będzie pociąg do płci przeciwnej.</w:t>
      </w:r>
      <w:r w:rsidRPr="007725E8">
        <w:t xml:space="preserve"> Heteroseksual</w:t>
      </w:r>
      <w:r w:rsidR="00674D01">
        <w:t xml:space="preserve">ność </w:t>
      </w:r>
      <w:r w:rsidRPr="007725E8">
        <w:t xml:space="preserve">jest więc stereotypem, który </w:t>
      </w:r>
      <w:r w:rsidR="00AF2B31">
        <w:t>funkcjonuje</w:t>
      </w:r>
      <w:r w:rsidR="00AF2B31" w:rsidRPr="007725E8">
        <w:t xml:space="preserve"> </w:t>
      </w:r>
      <w:r w:rsidRPr="007725E8">
        <w:t xml:space="preserve">w systemie binarnym, </w:t>
      </w:r>
      <w:r w:rsidR="00AF2B31">
        <w:t xml:space="preserve">natomiast stereotypy dotyczące płci uzupełniają się nawzajem w taki sposób, że </w:t>
      </w:r>
      <w:r w:rsidRPr="007725E8">
        <w:t>wszystko</w:t>
      </w:r>
      <w:r w:rsidR="00AF2B31">
        <w:t>, co</w:t>
      </w:r>
      <w:r w:rsidRPr="007725E8">
        <w:t xml:space="preserve"> jest kulturowo </w:t>
      </w:r>
      <w:r w:rsidR="00AF2B31">
        <w:t>rozumiane</w:t>
      </w:r>
      <w:r w:rsidR="00AF2B31" w:rsidRPr="007725E8">
        <w:t xml:space="preserve"> </w:t>
      </w:r>
      <w:r w:rsidRPr="007725E8">
        <w:t>jako kobiece</w:t>
      </w:r>
      <w:r w:rsidR="00AF2B31">
        <w:t>, jest</w:t>
      </w:r>
      <w:r w:rsidRPr="007725E8">
        <w:t xml:space="preserve"> </w:t>
      </w:r>
      <w:r w:rsidRPr="007725E8">
        <w:rPr>
          <w:i/>
          <w:iCs/>
        </w:rPr>
        <w:t>ipso facto</w:t>
      </w:r>
      <w:r w:rsidRPr="007725E8">
        <w:t xml:space="preserve"> męskie.</w:t>
      </w:r>
      <w:r w:rsidR="00160F5A">
        <w:t xml:space="preserve"> Mówiąc wprost</w:t>
      </w:r>
      <w:r w:rsidRPr="007725E8">
        <w:t xml:space="preserve">, taka binarna reprezentacja zamyka jednostki i grupy </w:t>
      </w:r>
      <w:r w:rsidR="000F020B">
        <w:br/>
      </w:r>
      <w:r w:rsidRPr="007725E8">
        <w:t xml:space="preserve">w ograniczonej liczbie usankcjonowanych cech i </w:t>
      </w:r>
      <w:proofErr w:type="spellStart"/>
      <w:r w:rsidRPr="007725E8">
        <w:t>zachowań</w:t>
      </w:r>
      <w:proofErr w:type="spellEnd"/>
      <w:r w:rsidRPr="007725E8">
        <w:t xml:space="preserve"> i w ten sposób </w:t>
      </w:r>
      <w:r w:rsidR="00AF2B31">
        <w:t>ogranicza ich</w:t>
      </w:r>
      <w:r w:rsidRPr="007725E8">
        <w:t xml:space="preserve"> potencjał ludzki.</w:t>
      </w:r>
    </w:p>
    <w:p w14:paraId="542A5597" w14:textId="66C04929" w:rsidR="00C34D92" w:rsidRPr="00684332" w:rsidRDefault="00AF2B31" w:rsidP="0086691D">
      <w:pPr>
        <w:rPr>
          <w:sz w:val="20"/>
          <w:szCs w:val="20"/>
        </w:rPr>
      </w:pPr>
      <w:r>
        <w:t xml:space="preserve">Tożsamość płciowa jest </w:t>
      </w:r>
      <w:r w:rsidR="00240B78">
        <w:t>zatem</w:t>
      </w:r>
      <w:r>
        <w:t xml:space="preserve"> ściśle związana z tożsamością seksualną, </w:t>
      </w:r>
      <w:r w:rsidR="00240B78">
        <w:t>przy czym ta ostatnia</w:t>
      </w:r>
      <w:r>
        <w:t xml:space="preserve"> to aspekt osobowości konstruowany, wyrażany i negocjowany na podstawie ekspresji seksualnej danej osoby</w:t>
      </w:r>
      <w:r w:rsidR="00240B78">
        <w:t>/w oparciu o jej seksualność</w:t>
      </w:r>
      <w:r>
        <w:t>.</w:t>
      </w:r>
      <w:r w:rsidR="00861662" w:rsidRPr="007725E8">
        <w:t xml:space="preserve"> </w:t>
      </w:r>
      <w:r w:rsidR="00464B15">
        <w:t xml:space="preserve">Dobrze zbadane </w:t>
      </w:r>
      <w:r w:rsidR="00464B15" w:rsidRPr="007725E8">
        <w:t>(np. Cameron 1997)</w:t>
      </w:r>
      <w:r w:rsidR="00464B15">
        <w:t xml:space="preserve"> zostały</w:t>
      </w:r>
      <w:r w:rsidRPr="007725E8">
        <w:t xml:space="preserve"> </w:t>
      </w:r>
      <w:r w:rsidR="00861662" w:rsidRPr="007725E8">
        <w:t xml:space="preserve">kształtowane kulturowo reprezentacje </w:t>
      </w:r>
      <w:proofErr w:type="spellStart"/>
      <w:r w:rsidR="00861662" w:rsidRPr="007725E8">
        <w:t>socjokognitywne</w:t>
      </w:r>
      <w:proofErr w:type="spellEnd"/>
      <w:r w:rsidR="00861662" w:rsidRPr="007725E8">
        <w:t xml:space="preserve"> </w:t>
      </w:r>
      <w:r>
        <w:t>tożsamości płciowej</w:t>
      </w:r>
      <w:r w:rsidRPr="007725E8">
        <w:t xml:space="preserve"> </w:t>
      </w:r>
      <w:r w:rsidR="000F020B">
        <w:br/>
      </w:r>
      <w:r w:rsidR="00861662" w:rsidRPr="007725E8">
        <w:t xml:space="preserve">i </w:t>
      </w:r>
      <w:r>
        <w:t>seksualnej</w:t>
      </w:r>
      <w:r w:rsidR="00861662" w:rsidRPr="007725E8">
        <w:t xml:space="preserve"> są ze sobą tak ściśle powiązane, że gdy zachowanie jest niezgodne ze stereotypem płciowym</w:t>
      </w:r>
      <w:r>
        <w:t>,</w:t>
      </w:r>
      <w:r w:rsidR="00861662" w:rsidRPr="007725E8">
        <w:t xml:space="preserve"> wywołuje to zamieszanie i </w:t>
      </w:r>
      <w:r w:rsidR="00DC0BCF">
        <w:t>wskazuje</w:t>
      </w:r>
      <w:r w:rsidR="00861662" w:rsidRPr="007725E8">
        <w:t xml:space="preserve"> na homoseksual</w:t>
      </w:r>
      <w:r w:rsidR="00674D01">
        <w:t>ność</w:t>
      </w:r>
      <w:r w:rsidR="00861662" w:rsidRPr="00464B15">
        <w:t xml:space="preserve">. </w:t>
      </w:r>
      <w:r w:rsidR="00861662" w:rsidRPr="008C537D">
        <w:t>Podczas analizy tekstu zauważono, że</w:t>
      </w:r>
      <w:r w:rsidR="0092041C" w:rsidRPr="008C537D">
        <w:t xml:space="preserve"> </w:t>
      </w:r>
      <w:r w:rsidR="002277B3" w:rsidRPr="002277B3">
        <w:t xml:space="preserve">w tekście reklamowym starano się odróżnić męskie kosmetyki od kobiecej normy </w:t>
      </w:r>
      <w:r w:rsidR="00464B15" w:rsidRPr="00464B15">
        <w:t>w celu uniknięcia użycia określeń wskazujących na produkty dla kobiet,</w:t>
      </w:r>
      <w:r w:rsidR="002277B3">
        <w:t xml:space="preserve"> </w:t>
      </w:r>
      <w:r w:rsidR="00464B15" w:rsidRPr="00464B15">
        <w:t>które mogłyby występować w opisie kosmetyków przeznaczonych dla mężczyzn</w:t>
      </w:r>
      <w:r w:rsidR="00861662" w:rsidRPr="00464B15">
        <w:t>. Jak</w:t>
      </w:r>
      <w:r w:rsidR="00861662" w:rsidRPr="007725E8">
        <w:t xml:space="preserve"> opisano szczegółowo </w:t>
      </w:r>
      <w:r w:rsidR="000F020B">
        <w:br/>
      </w:r>
      <w:r w:rsidR="00861662" w:rsidRPr="007725E8">
        <w:t xml:space="preserve">w </w:t>
      </w:r>
      <w:r w:rsidR="00696D8A">
        <w:t>podrozdziale</w:t>
      </w:r>
      <w:r w:rsidR="00861662" w:rsidRPr="007725E8">
        <w:t xml:space="preserve"> 4.1</w:t>
      </w:r>
      <w:r>
        <w:t>.</w:t>
      </w:r>
      <w:r w:rsidR="003607EB">
        <w:t>,</w:t>
      </w:r>
      <w:r w:rsidR="00861662" w:rsidRPr="007725E8">
        <w:t xml:space="preserve"> w tekście odzwierciedlenie znajduje wiele stereotypów dotyczących </w:t>
      </w:r>
      <w:r>
        <w:t>płci</w:t>
      </w:r>
      <w:r w:rsidR="00861662" w:rsidRPr="007725E8">
        <w:t xml:space="preserve">. Implikowana przez nie tożsamość zbiorowa </w:t>
      </w:r>
      <w:r w:rsidR="0095138B">
        <w:t>przedstawia</w:t>
      </w:r>
      <w:r w:rsidR="00861662" w:rsidRPr="007725E8">
        <w:t xml:space="preserve"> młode kobiety jako statyczne </w:t>
      </w:r>
      <w:r w:rsidR="000F020B">
        <w:br/>
      </w:r>
      <w:r w:rsidR="00861662" w:rsidRPr="007725E8">
        <w:t xml:space="preserve">i skupione na życiu uczuciowym oraz wyglądzie, a także identyfikujące się jako heteroseksualne i (w związku z tym) zabiegające o aprobatę ze strony mężczyzn. Obecna </w:t>
      </w:r>
      <w:r w:rsidR="000F020B">
        <w:br/>
      </w:r>
      <w:r w:rsidR="00861662" w:rsidRPr="007725E8">
        <w:t xml:space="preserve">w tekście reprezentacja </w:t>
      </w:r>
      <w:proofErr w:type="spellStart"/>
      <w:r w:rsidR="00861662" w:rsidRPr="007725E8">
        <w:t>socjokognitywna</w:t>
      </w:r>
      <w:proofErr w:type="spellEnd"/>
      <w:r w:rsidR="00861662" w:rsidRPr="007725E8">
        <w:t xml:space="preserve"> kobiecości składa się z</w:t>
      </w:r>
      <w:r w:rsidR="0095138B">
        <w:t xml:space="preserve"> przekonań</w:t>
      </w:r>
      <w:r w:rsidR="00861662" w:rsidRPr="007725E8">
        <w:t xml:space="preserve">, że kobiety </w:t>
      </w:r>
      <w:r w:rsidR="00861662" w:rsidRPr="007725E8">
        <w:lastRenderedPageBreak/>
        <w:t xml:space="preserve">identyfikują się jako kobiece i pragną wchodzić w relacje romantyczne/seksualne </w:t>
      </w:r>
      <w:r w:rsidR="000F020B">
        <w:br/>
      </w:r>
      <w:r w:rsidR="00861662" w:rsidRPr="007725E8">
        <w:t xml:space="preserve">z mężczyznami, ich motywacją do działań są wartości i cele powiązane z pięknem </w:t>
      </w:r>
      <w:r w:rsidR="000F020B">
        <w:br/>
      </w:r>
      <w:r w:rsidR="00861662" w:rsidRPr="007725E8">
        <w:t xml:space="preserve">i wyrozumiałością, są pod wpływem norm stylu celebrytów i oczekuje się od nich, że będą podatne na oferty obiecujące </w:t>
      </w:r>
      <w:r w:rsidR="0016160A">
        <w:t>spełnić te cele i standardy</w:t>
      </w:r>
      <w:r w:rsidR="00861662" w:rsidRPr="007725E8">
        <w:t xml:space="preserve">. Pomimo pozytywnej </w:t>
      </w:r>
      <w:r w:rsidR="0016160A">
        <w:t>oceny</w:t>
      </w:r>
      <w:r w:rsidR="000133BE">
        <w:t>,</w:t>
      </w:r>
      <w:r w:rsidR="00861662" w:rsidRPr="007725E8">
        <w:t xml:space="preserve"> nie tylko ogranicza to gamę cech i </w:t>
      </w:r>
      <w:proofErr w:type="spellStart"/>
      <w:r w:rsidR="00861662" w:rsidRPr="007725E8">
        <w:t>zachowań</w:t>
      </w:r>
      <w:proofErr w:type="spellEnd"/>
      <w:r w:rsidR="00861662" w:rsidRPr="007725E8">
        <w:t xml:space="preserve"> uważanych za odpowiednie dla konkretnej płci, lecz również stwarza warunkowaną płciowo nierówność władzy, gdzie kobiety stawiane są </w:t>
      </w:r>
      <w:r w:rsidR="000F020B">
        <w:br/>
      </w:r>
      <w:r w:rsidR="00861662" w:rsidRPr="007725E8">
        <w:t>w gorszej pozycji</w:t>
      </w:r>
      <w:r w:rsidR="00552C1F">
        <w:t>.</w:t>
      </w:r>
    </w:p>
    <w:p w14:paraId="644B31CD" w14:textId="73DFC3FA" w:rsidR="00C34D92" w:rsidRPr="005D2BAF" w:rsidRDefault="00861662" w:rsidP="0086691D">
      <w:pPr>
        <w:rPr>
          <w:sz w:val="20"/>
          <w:szCs w:val="20"/>
        </w:rPr>
      </w:pPr>
      <w:r w:rsidRPr="007725E8">
        <w:t xml:space="preserve">W </w:t>
      </w:r>
      <w:r w:rsidRPr="002277B3">
        <w:t xml:space="preserve">tekście </w:t>
      </w:r>
      <w:r w:rsidRPr="008C537D">
        <w:t xml:space="preserve">tożsamość zbiorowa </w:t>
      </w:r>
      <w:r w:rsidR="002277B3" w:rsidRPr="008C537D">
        <w:t xml:space="preserve">przedstawia kobiety </w:t>
      </w:r>
      <w:r w:rsidRPr="002277B3">
        <w:t xml:space="preserve">jako osoby </w:t>
      </w:r>
      <w:r w:rsidR="00E608E8">
        <w:t>spragnione</w:t>
      </w:r>
      <w:r w:rsidRPr="002277B3">
        <w:t xml:space="preserve"> </w:t>
      </w:r>
      <w:r w:rsidRPr="008C537D">
        <w:t xml:space="preserve">konsumpcji </w:t>
      </w:r>
      <w:r w:rsidR="002277B3" w:rsidRPr="008C537D">
        <w:t xml:space="preserve">w celu </w:t>
      </w:r>
      <w:r w:rsidR="00337B8D" w:rsidRPr="008C537D">
        <w:t>uzyskania</w:t>
      </w:r>
      <w:r w:rsidRPr="008C537D">
        <w:t xml:space="preserve"> dobrego</w:t>
      </w:r>
      <w:r w:rsidRPr="002277B3">
        <w:t xml:space="preserve"> samopoczucia</w:t>
      </w:r>
      <w:r w:rsidRPr="007725E8">
        <w:t>. Wskazuje to na bardzo istotny aspekt kontekstu</w:t>
      </w:r>
      <w:r w:rsidR="00CA7A92">
        <w:t xml:space="preserve"> społeczno-</w:t>
      </w:r>
      <w:r w:rsidR="008C537D">
        <w:t>ekonomicznego</w:t>
      </w:r>
      <w:r w:rsidR="008C537D" w:rsidRPr="007725E8">
        <w:t>,</w:t>
      </w:r>
      <w:r w:rsidRPr="007725E8">
        <w:t xml:space="preserve"> a mianowicie na to, że tożsamość kobiecą buduje się w ten sposób nie po to, aby nadać autorom tekstu przewagę z racji, że są to mężczyźni – jeżeli rzeczywiście </w:t>
      </w:r>
      <w:r w:rsidR="00AA0030">
        <w:t>tak jest</w:t>
      </w:r>
      <w:r w:rsidRPr="007725E8">
        <w:t xml:space="preserve"> – lecz aby </w:t>
      </w:r>
      <w:r w:rsidR="00BF38F5">
        <w:t>sprawić, iż kobiety będą bardziej skłonne do konsumpcji</w:t>
      </w:r>
      <w:r w:rsidRPr="007725E8">
        <w:t xml:space="preserve"> </w:t>
      </w:r>
      <w:r w:rsidR="00AA0030">
        <w:t>kosmetyków</w:t>
      </w:r>
      <w:r w:rsidRPr="002277B3">
        <w:t xml:space="preserve">. </w:t>
      </w:r>
      <w:r w:rsidR="002277B3" w:rsidRPr="008C537D">
        <w:t>Podobnie</w:t>
      </w:r>
      <w:r w:rsidRPr="008C537D">
        <w:t xml:space="preserve"> interesy rynkowe wpływają na </w:t>
      </w:r>
      <w:r w:rsidR="002277B3" w:rsidRPr="008C537D">
        <w:t>to, jak opisywane są kosmetyki dla mężczyzn</w:t>
      </w:r>
      <w:r w:rsidRPr="002277B3">
        <w:t xml:space="preserve">, by można było sprzedać ich więcej. Tekst wzmacnia stereotyp kobiecej natury produktów kosmetycznych i w jasny </w:t>
      </w:r>
      <w:r w:rsidRPr="008C537D">
        <w:t>sposób</w:t>
      </w:r>
      <w:r w:rsidRPr="002277B3">
        <w:t xml:space="preserve"> oddziela od niego produkty skierowane dla mężczyzn – często </w:t>
      </w:r>
      <w:r w:rsidR="002277B3" w:rsidRPr="002277B3">
        <w:t>kobieco,</w:t>
      </w:r>
      <w:r w:rsidR="002277B3">
        <w:t xml:space="preserve"> aż </w:t>
      </w:r>
      <w:r w:rsidR="002277B3" w:rsidRPr="0037649D">
        <w:t>kokieteryjnie</w:t>
      </w:r>
      <w:r w:rsidRPr="0037649D">
        <w:t xml:space="preserve">, </w:t>
      </w:r>
      <w:r w:rsidR="00AF2B31" w:rsidRPr="00791884">
        <w:t>na przykład</w:t>
      </w:r>
      <w:r w:rsidRPr="00096975">
        <w:t xml:space="preserve"> </w:t>
      </w:r>
      <w:r w:rsidR="00AF2B31" w:rsidRPr="00096975">
        <w:t>„</w:t>
      </w:r>
      <w:proofErr w:type="spellStart"/>
      <w:r w:rsidRPr="00096975">
        <w:t>shhhhh</w:t>
      </w:r>
      <w:proofErr w:type="spellEnd"/>
      <w:r w:rsidRPr="00096975">
        <w:t>…</w:t>
      </w:r>
      <w:r w:rsidR="00552C1F" w:rsidRPr="00F8765F">
        <w:rPr>
          <w:rFonts w:eastAsia="Georgia"/>
          <w:szCs w:val="24"/>
        </w:rPr>
        <w:t xml:space="preserve"> </w:t>
      </w:r>
      <w:proofErr w:type="spellStart"/>
      <w:r w:rsidRPr="00F8765F">
        <w:rPr>
          <w:rFonts w:eastAsia="Georgia"/>
          <w:szCs w:val="24"/>
        </w:rPr>
        <w:t>it's</w:t>
      </w:r>
      <w:proofErr w:type="spellEnd"/>
      <w:r w:rsidRPr="00F8765F">
        <w:rPr>
          <w:rFonts w:eastAsia="Georgia"/>
          <w:szCs w:val="24"/>
        </w:rPr>
        <w:t xml:space="preserve"> a </w:t>
      </w:r>
      <w:proofErr w:type="spellStart"/>
      <w:r w:rsidRPr="00F8765F">
        <w:rPr>
          <w:rFonts w:eastAsia="Georgia"/>
          <w:szCs w:val="24"/>
        </w:rPr>
        <w:t>secret</w:t>
      </w:r>
      <w:proofErr w:type="spellEnd"/>
      <w:r w:rsidRPr="00F8765F">
        <w:rPr>
          <w:rFonts w:eastAsia="Georgia"/>
          <w:szCs w:val="24"/>
        </w:rPr>
        <w:t xml:space="preserve">, but men love a </w:t>
      </w:r>
      <w:proofErr w:type="spellStart"/>
      <w:r w:rsidRPr="00F8765F">
        <w:rPr>
          <w:rFonts w:eastAsia="Georgia"/>
          <w:szCs w:val="24"/>
        </w:rPr>
        <w:t>little</w:t>
      </w:r>
      <w:proofErr w:type="spellEnd"/>
      <w:r w:rsidRPr="00F8765F">
        <w:rPr>
          <w:rFonts w:eastAsia="Georgia"/>
          <w:szCs w:val="24"/>
        </w:rPr>
        <w:t xml:space="preserve"> me-</w:t>
      </w:r>
      <w:proofErr w:type="spellStart"/>
      <w:r w:rsidRPr="00F8765F">
        <w:rPr>
          <w:rFonts w:eastAsia="Georgia"/>
          <w:szCs w:val="24"/>
        </w:rPr>
        <w:t>time</w:t>
      </w:r>
      <w:proofErr w:type="spellEnd"/>
      <w:r w:rsidRPr="00F8765F">
        <w:rPr>
          <w:rFonts w:eastAsia="Georgia"/>
          <w:szCs w:val="24"/>
        </w:rPr>
        <w:t xml:space="preserve"> </w:t>
      </w:r>
      <w:proofErr w:type="spellStart"/>
      <w:r w:rsidRPr="00F8765F">
        <w:rPr>
          <w:rFonts w:eastAsia="Georgia"/>
          <w:szCs w:val="24"/>
        </w:rPr>
        <w:t>too</w:t>
      </w:r>
      <w:proofErr w:type="spellEnd"/>
      <w:r w:rsidRPr="00F8765F">
        <w:rPr>
          <w:rFonts w:eastAsia="Georgia"/>
          <w:szCs w:val="24"/>
        </w:rPr>
        <w:t>” [</w:t>
      </w:r>
      <w:proofErr w:type="spellStart"/>
      <w:r w:rsidRPr="00F8765F">
        <w:rPr>
          <w:rFonts w:eastAsia="Georgia"/>
          <w:szCs w:val="24"/>
        </w:rPr>
        <w:t>ćśś</w:t>
      </w:r>
      <w:proofErr w:type="spellEnd"/>
      <w:r w:rsidRPr="00F8765F">
        <w:rPr>
          <w:rFonts w:eastAsia="Georgia"/>
          <w:szCs w:val="24"/>
        </w:rPr>
        <w:t>… to tajemnica, ale mężczyźni też lubią mieć</w:t>
      </w:r>
      <w:r w:rsidR="00C6714F" w:rsidRPr="00613857">
        <w:rPr>
          <w:rFonts w:eastAsia="Georgia"/>
          <w:szCs w:val="24"/>
        </w:rPr>
        <w:t xml:space="preserve">/ trochę czasu dla </w:t>
      </w:r>
      <w:r w:rsidR="008C537D" w:rsidRPr="00613857">
        <w:rPr>
          <w:rFonts w:eastAsia="Georgia"/>
          <w:szCs w:val="24"/>
        </w:rPr>
        <w:t>siebie]</w:t>
      </w:r>
      <w:r w:rsidRPr="00613857">
        <w:rPr>
          <w:rFonts w:eastAsia="Georgia"/>
          <w:szCs w:val="24"/>
        </w:rPr>
        <w:t xml:space="preserve">. Sugeruje to, że autorzy tekstu reagują na potencjalne zaburzenie </w:t>
      </w:r>
      <w:r w:rsidR="002277B3" w:rsidRPr="00613857">
        <w:rPr>
          <w:rFonts w:eastAsia="Georgia"/>
          <w:szCs w:val="24"/>
        </w:rPr>
        <w:t xml:space="preserve">podziału </w:t>
      </w:r>
      <w:r w:rsidRPr="00613857">
        <w:rPr>
          <w:rFonts w:eastAsia="Georgia"/>
          <w:szCs w:val="24"/>
        </w:rPr>
        <w:t>płci</w:t>
      </w:r>
      <w:r w:rsidR="002277B3" w:rsidRPr="00B47153">
        <w:rPr>
          <w:rFonts w:eastAsia="Georgia"/>
          <w:szCs w:val="24"/>
        </w:rPr>
        <w:t xml:space="preserve"> wywołane</w:t>
      </w:r>
      <w:r w:rsidR="001228F5" w:rsidRPr="00B47153">
        <w:rPr>
          <w:rFonts w:eastAsia="Georgia"/>
          <w:szCs w:val="24"/>
        </w:rPr>
        <w:t xml:space="preserve"> </w:t>
      </w:r>
      <w:r w:rsidR="00824ECD" w:rsidRPr="00B47153">
        <w:rPr>
          <w:rFonts w:eastAsia="Georgia"/>
          <w:szCs w:val="24"/>
        </w:rPr>
        <w:t xml:space="preserve">przez </w:t>
      </w:r>
      <w:r w:rsidR="0058651A" w:rsidRPr="00B47153">
        <w:rPr>
          <w:rFonts w:eastAsia="Georgia"/>
          <w:szCs w:val="24"/>
        </w:rPr>
        <w:t>reklamę</w:t>
      </w:r>
      <w:r w:rsidR="00824ECD" w:rsidRPr="00B47153">
        <w:rPr>
          <w:rFonts w:eastAsia="Georgia"/>
          <w:szCs w:val="24"/>
        </w:rPr>
        <w:t xml:space="preserve"> męskich kosmetyków</w:t>
      </w:r>
      <w:r w:rsidRPr="00B47153">
        <w:rPr>
          <w:rFonts w:eastAsia="Georgia"/>
          <w:szCs w:val="24"/>
        </w:rPr>
        <w:t>,</w:t>
      </w:r>
      <w:r w:rsidRPr="007725E8">
        <w:rPr>
          <w:rFonts w:eastAsia="Georgia"/>
          <w:szCs w:val="24"/>
        </w:rPr>
        <w:t xml:space="preserve"> poprzez wzmacnianie binarnego podziału płci oraz stereotypów płciowych.</w:t>
      </w:r>
      <w:r w:rsidR="00824ECD">
        <w:rPr>
          <w:rFonts w:eastAsia="Georgia"/>
          <w:szCs w:val="24"/>
        </w:rPr>
        <w:t xml:space="preserve"> </w:t>
      </w:r>
    </w:p>
    <w:p w14:paraId="003B3EFE" w14:textId="79C3A9F2" w:rsidR="00E23BA6" w:rsidRPr="007725E8" w:rsidRDefault="00861662" w:rsidP="0086691D">
      <w:r w:rsidRPr="007725E8">
        <w:t xml:space="preserve">W tekście konsumpcja przedstawiona jest jako środek do osiągnięcia celów </w:t>
      </w:r>
      <w:r w:rsidR="002277B3">
        <w:t>rozumianych</w:t>
      </w:r>
      <w:r w:rsidR="002277B3" w:rsidRPr="007725E8">
        <w:t xml:space="preserve"> </w:t>
      </w:r>
      <w:r w:rsidRPr="007725E8">
        <w:t xml:space="preserve">jako konstytutywne elementy tożsamości płciowej i seksualnej w reprezentacji </w:t>
      </w:r>
      <w:proofErr w:type="spellStart"/>
      <w:r w:rsidRPr="007725E8">
        <w:t>socjokognitywnej</w:t>
      </w:r>
      <w:proofErr w:type="spellEnd"/>
      <w:r w:rsidRPr="007725E8">
        <w:t>. Konsumpcyjny kapitalizm</w:t>
      </w:r>
      <w:r w:rsidR="00FF6680">
        <w:t xml:space="preserve"> rozróżnia</w:t>
      </w:r>
      <w:r w:rsidRPr="007725E8">
        <w:t xml:space="preserve"> jednostki wyłącznie, </w:t>
      </w:r>
      <w:r w:rsidR="005D3953">
        <w:t>jeśli nie</w:t>
      </w:r>
      <w:r w:rsidRPr="007725E8">
        <w:t xml:space="preserve"> </w:t>
      </w:r>
      <w:r w:rsidR="005D3953">
        <w:t>bezwzględnie</w:t>
      </w:r>
      <w:r w:rsidRPr="007725E8">
        <w:t xml:space="preserve">, na podstawie </w:t>
      </w:r>
      <w:r w:rsidR="002C59DA">
        <w:t>siły nabywczej</w:t>
      </w:r>
      <w:r w:rsidRPr="007725E8">
        <w:t xml:space="preserve">, a stereotypy dotyczące tożsamości płciowej </w:t>
      </w:r>
      <w:r w:rsidR="000F020B">
        <w:br/>
      </w:r>
      <w:r w:rsidRPr="007725E8">
        <w:t xml:space="preserve">i seksualnej są drugorzędne wobec imperatywu konsumpcji. Ponieważ obiecywanie odbiorcom tekstu „odpowiedniej” tożsamości płciowej i seksualnej powoduje możliwość zarobku, konstruuje się je jako efekty konsumpcji. </w:t>
      </w:r>
      <w:proofErr w:type="spellStart"/>
      <w:r w:rsidRPr="007725E8">
        <w:t>Inoue</w:t>
      </w:r>
      <w:proofErr w:type="spellEnd"/>
      <w:r w:rsidRPr="007725E8">
        <w:t xml:space="preserve"> (2006: 88–89) ujmuje to w następujący sposób:</w:t>
      </w:r>
    </w:p>
    <w:p w14:paraId="347F8949" w14:textId="631AF767" w:rsidR="00E23BA6" w:rsidRPr="00E23BA6" w:rsidRDefault="00861662" w:rsidP="00E6706D">
      <w:pPr>
        <w:pStyle w:val="Cytat"/>
        <w:ind w:hanging="13"/>
        <w:jc w:val="both"/>
      </w:pPr>
      <w:r w:rsidRPr="004B00C9">
        <w:t>Ten nowy stosunek do jaźni podporządkowuje jednostki poprzez nagradz</w:t>
      </w:r>
      <w:r w:rsidR="00E23BA6">
        <w:t>a</w:t>
      </w:r>
      <w:r w:rsidRPr="004B00C9">
        <w:t xml:space="preserve">nie estetycznego panowania nad swoją jaźnią oraz poprzez równoczesne sprowadzanie problematyzacji struktury społecznej do koncepcji sprzecznej z intuicją. W dobie neoliberalizmu niezależność „tożsamości” odnosi się do „wolnego wyboru” </w:t>
      </w:r>
      <w:r w:rsidRPr="004B00C9">
        <w:lastRenderedPageBreak/>
        <w:t>konsumenta, a wybór ten jest sprowadzony do z góry ograniczonego systemu dóbr i usług</w:t>
      </w:r>
      <w:r w:rsidR="00AF2B31" w:rsidRPr="004B00C9">
        <w:rPr>
          <w:rStyle w:val="Odwoanieprzypisudolnego"/>
          <w:sz w:val="20"/>
          <w:szCs w:val="20"/>
        </w:rPr>
        <w:footnoteReference w:id="12"/>
      </w:r>
      <w:r w:rsidRPr="004B00C9">
        <w:t>.</w:t>
      </w:r>
    </w:p>
    <w:p w14:paraId="72A7103E" w14:textId="2D3856B4" w:rsidR="00C34D92" w:rsidRDefault="00861662" w:rsidP="0086691D">
      <w:pPr>
        <w:rPr>
          <w:sz w:val="20"/>
          <w:szCs w:val="20"/>
        </w:rPr>
      </w:pPr>
      <w:r w:rsidRPr="007725E8">
        <w:t>Tożsamość płciowa i seksualna staje się zatem dobrem konsumpcyjnym, skrajnie zmniejszając możliwość kształtowania tożsamości i jej wyrażania.</w:t>
      </w:r>
    </w:p>
    <w:p w14:paraId="0E270B12" w14:textId="77777777" w:rsidR="00C34D92" w:rsidRPr="005D2BAF" w:rsidRDefault="00861662" w:rsidP="0086691D">
      <w:pPr>
        <w:pStyle w:val="Nagwek1"/>
        <w:rPr>
          <w:sz w:val="20"/>
          <w:szCs w:val="20"/>
        </w:rPr>
      </w:pPr>
      <w:r w:rsidRPr="007725E8">
        <w:t>5. Wnioski</w:t>
      </w:r>
    </w:p>
    <w:p w14:paraId="28DCAD58" w14:textId="12295BFB" w:rsidR="00265671" w:rsidRPr="00265671" w:rsidRDefault="00861662" w:rsidP="00621393">
      <w:pPr>
        <w:ind w:firstLine="0"/>
        <w:rPr>
          <w:sz w:val="20"/>
          <w:szCs w:val="20"/>
        </w:rPr>
      </w:pPr>
      <w:r w:rsidRPr="007725E8">
        <w:t xml:space="preserve">Analiza przeprowadzona w niniejszym artykule pokazała, w jaki sposób czynniki </w:t>
      </w:r>
      <w:r w:rsidR="00F04E9A">
        <w:t>społeczno-ekonomiczne</w:t>
      </w:r>
      <w:r w:rsidRPr="007725E8">
        <w:t xml:space="preserve"> na poziomie makro wpływają za pomocą poziomu </w:t>
      </w:r>
      <w:proofErr w:type="spellStart"/>
      <w:r w:rsidRPr="007725E8">
        <w:t>mezo</w:t>
      </w:r>
      <w:proofErr w:type="spellEnd"/>
      <w:r w:rsidRPr="007725E8">
        <w:t xml:space="preserve"> praktyki dyskursywnej na wybór elementów językowych na poziomie mikro. </w:t>
      </w:r>
      <w:r w:rsidR="00BF6911">
        <w:t>Podsumowując</w:t>
      </w:r>
      <w:r w:rsidR="002277B3">
        <w:t xml:space="preserve">, </w:t>
      </w:r>
      <w:r w:rsidRPr="007725E8">
        <w:t xml:space="preserve">bliższe przyjrzenie się tekstowi i językowi w nim zawartemu pokazuje, w jaki sposób powstają, </w:t>
      </w:r>
      <w:r w:rsidRPr="00251C82">
        <w:t xml:space="preserve">rozpowszechniają się, </w:t>
      </w:r>
      <w:r w:rsidR="00251C82" w:rsidRPr="008C537D">
        <w:t>są przyjmowane i zawłaszczane</w:t>
      </w:r>
      <w:r w:rsidRPr="008C537D">
        <w:t xml:space="preserve"> cechy danego dyskursu.</w:t>
      </w:r>
      <w:r w:rsidRPr="00251C82">
        <w:t xml:space="preserve"> Włączenie do analizy po</w:t>
      </w:r>
      <w:r w:rsidRPr="007725E8">
        <w:t xml:space="preserve">dejścia </w:t>
      </w:r>
      <w:proofErr w:type="spellStart"/>
      <w:r w:rsidRPr="007725E8">
        <w:t>socjokognitywnego</w:t>
      </w:r>
      <w:proofErr w:type="spellEnd"/>
      <w:r w:rsidRPr="007725E8">
        <w:t xml:space="preserve"> </w:t>
      </w:r>
      <w:r w:rsidR="00F1127A">
        <w:t>pozwala zwrócić uwagę</w:t>
      </w:r>
      <w:r w:rsidRPr="007725E8">
        <w:t xml:space="preserve"> na konstrukcję dyskursywną i strukturę kognitywną tożsamości zbiorowej, dając odpowiedź na pytanie o przewagę konkretnej reprezentacji w dowolnym przykładzie dyskursu, jej od</w:t>
      </w:r>
      <w:r w:rsidR="00052455">
        <w:t>zwierciedlenie</w:t>
      </w:r>
      <w:r w:rsidRPr="007725E8">
        <w:t xml:space="preserve"> na poziomie języka oraz aktorów zaangażowanych w praktyki dyskursywne związane z takimi modelami mentalnymi. Takie podejście może też wyjaśnić, dlaczego reprezentacje </w:t>
      </w:r>
      <w:proofErr w:type="spellStart"/>
      <w:r w:rsidRPr="007725E8">
        <w:t>socjokognitywne</w:t>
      </w:r>
      <w:proofErr w:type="spellEnd"/>
      <w:r w:rsidRPr="007725E8">
        <w:t xml:space="preserve"> przyjmują konkretną formę w danym momencie historycznym.</w:t>
      </w:r>
    </w:p>
    <w:p w14:paraId="1385EC68" w14:textId="77777777" w:rsidR="00C34D92" w:rsidRPr="005D2BAF" w:rsidRDefault="00861662" w:rsidP="0086691D">
      <w:pPr>
        <w:pStyle w:val="Nagwek1"/>
        <w:rPr>
          <w:lang w:val="en-US"/>
        </w:rPr>
      </w:pPr>
      <w:bookmarkStart w:id="14" w:name="page18"/>
      <w:bookmarkEnd w:id="14"/>
      <w:proofErr w:type="spellStart"/>
      <w:r w:rsidRPr="007725E8">
        <w:rPr>
          <w:lang w:val="en-US"/>
        </w:rPr>
        <w:t>Bibliografia</w:t>
      </w:r>
      <w:proofErr w:type="spellEnd"/>
    </w:p>
    <w:p w14:paraId="296F3D11" w14:textId="63A40089" w:rsidR="00C34D92" w:rsidRPr="005D2BAF" w:rsidRDefault="00861662" w:rsidP="00F2601A">
      <w:pPr>
        <w:pStyle w:val="Bezodstpw"/>
        <w:jc w:val="both"/>
        <w:rPr>
          <w:lang w:val="en-US"/>
        </w:rPr>
      </w:pPr>
      <w:proofErr w:type="spellStart"/>
      <w:r w:rsidRPr="007725E8">
        <w:rPr>
          <w:rFonts w:eastAsia="Georgia"/>
          <w:lang w:val="en-US"/>
        </w:rPr>
        <w:t>Augoustinos</w:t>
      </w:r>
      <w:proofErr w:type="spellEnd"/>
      <w:r w:rsidRPr="007725E8">
        <w:rPr>
          <w:rFonts w:eastAsia="Georgia"/>
          <w:lang w:val="en-US"/>
        </w:rPr>
        <w:t xml:space="preserve">, M., Walker, I. </w:t>
      </w:r>
      <w:proofErr w:type="spellStart"/>
      <w:r w:rsidRPr="007725E8">
        <w:rPr>
          <w:rFonts w:eastAsia="Georgia"/>
          <w:lang w:val="en-US"/>
        </w:rPr>
        <w:t>i</w:t>
      </w:r>
      <w:proofErr w:type="spellEnd"/>
      <w:r w:rsidRPr="007725E8">
        <w:rPr>
          <w:rFonts w:eastAsia="Georgia"/>
          <w:lang w:val="en-US"/>
        </w:rPr>
        <w:t xml:space="preserve"> N. </w:t>
      </w:r>
      <w:proofErr w:type="spellStart"/>
      <w:r w:rsidRPr="007725E8">
        <w:rPr>
          <w:rFonts w:eastAsia="Georgia"/>
          <w:lang w:val="en-US"/>
        </w:rPr>
        <w:t>Donaghue</w:t>
      </w:r>
      <w:proofErr w:type="spellEnd"/>
      <w:r w:rsidRPr="007725E8">
        <w:rPr>
          <w:rFonts w:eastAsia="Georgia"/>
          <w:lang w:val="en-US"/>
        </w:rPr>
        <w:t xml:space="preserve"> (2006).</w:t>
      </w:r>
      <w:r w:rsidR="0018221E">
        <w:rPr>
          <w:rFonts w:eastAsia="Georgia"/>
          <w:lang w:val="en-US"/>
        </w:rPr>
        <w:t xml:space="preserve"> </w:t>
      </w:r>
      <w:r w:rsidRPr="007725E8">
        <w:rPr>
          <w:rFonts w:eastAsia="Georgia"/>
          <w:i/>
          <w:iCs/>
          <w:lang w:val="en-US"/>
        </w:rPr>
        <w:t>Social Cognition: An Integrated</w:t>
      </w:r>
      <w:r w:rsidR="00265671">
        <w:rPr>
          <w:rFonts w:eastAsia="Georgia"/>
          <w:i/>
          <w:iCs/>
          <w:lang w:val="en-US"/>
        </w:rPr>
        <w:t xml:space="preserve"> </w:t>
      </w:r>
      <w:r w:rsidRPr="007725E8">
        <w:rPr>
          <w:rFonts w:eastAsia="Georgia"/>
          <w:i/>
          <w:iCs/>
          <w:lang w:val="en-US"/>
        </w:rPr>
        <w:t>Introduction.</w:t>
      </w:r>
      <w:r w:rsidRPr="007725E8">
        <w:rPr>
          <w:rFonts w:eastAsia="Georgia"/>
          <w:lang w:val="en-US"/>
        </w:rPr>
        <w:t xml:space="preserve"> Wyd. 2. London: Sage.</w:t>
      </w:r>
    </w:p>
    <w:p w14:paraId="29E6957C" w14:textId="1AE68549" w:rsidR="00C34D92" w:rsidRPr="007725E8" w:rsidRDefault="00861662" w:rsidP="00F2601A">
      <w:pPr>
        <w:pStyle w:val="Bezodstpw"/>
        <w:jc w:val="both"/>
        <w:rPr>
          <w:lang w:val="en-US"/>
        </w:rPr>
      </w:pPr>
      <w:r w:rsidRPr="007725E8">
        <w:rPr>
          <w:rFonts w:eastAsia="Georgia"/>
          <w:lang w:val="en-US"/>
        </w:rPr>
        <w:t xml:space="preserve">Baker, P. (2006). </w:t>
      </w:r>
      <w:r w:rsidRPr="007725E8">
        <w:rPr>
          <w:rFonts w:eastAsia="Georgia"/>
          <w:i/>
          <w:iCs/>
          <w:lang w:val="en-US"/>
        </w:rPr>
        <w:t>Using Corpora in Discourse Analysis</w:t>
      </w:r>
      <w:r w:rsidRPr="007725E8">
        <w:rPr>
          <w:rFonts w:eastAsia="Georgia"/>
          <w:lang w:val="en-US"/>
        </w:rPr>
        <w:t>. London: Continuum.</w:t>
      </w:r>
    </w:p>
    <w:p w14:paraId="7860C1CC" w14:textId="2CD97253" w:rsidR="00C34D92" w:rsidRPr="007725E8" w:rsidRDefault="00861662" w:rsidP="00F2601A">
      <w:pPr>
        <w:pStyle w:val="Bezodstpw"/>
        <w:jc w:val="both"/>
        <w:rPr>
          <w:lang w:val="en-US"/>
        </w:rPr>
      </w:pPr>
      <w:r w:rsidRPr="007725E8">
        <w:rPr>
          <w:rFonts w:eastAsia="Georgia"/>
          <w:lang w:val="en-US"/>
        </w:rPr>
        <w:t xml:space="preserve">Bless, H., Fiedler, K. </w:t>
      </w:r>
      <w:proofErr w:type="spellStart"/>
      <w:r w:rsidRPr="007725E8">
        <w:rPr>
          <w:rFonts w:eastAsia="Georgia"/>
          <w:lang w:val="en-US"/>
        </w:rPr>
        <w:t>i</w:t>
      </w:r>
      <w:proofErr w:type="spellEnd"/>
      <w:r w:rsidRPr="007725E8">
        <w:rPr>
          <w:rFonts w:eastAsia="Georgia"/>
          <w:lang w:val="en-US"/>
        </w:rPr>
        <w:t xml:space="preserve"> F. </w:t>
      </w:r>
      <w:proofErr w:type="spellStart"/>
      <w:r w:rsidRPr="007725E8">
        <w:rPr>
          <w:rFonts w:eastAsia="Georgia"/>
          <w:lang w:val="en-US"/>
        </w:rPr>
        <w:t>Strack</w:t>
      </w:r>
      <w:proofErr w:type="spellEnd"/>
      <w:r w:rsidRPr="007725E8">
        <w:rPr>
          <w:rFonts w:eastAsia="Georgia"/>
          <w:lang w:val="en-US"/>
        </w:rPr>
        <w:t xml:space="preserve"> (2004).</w:t>
      </w:r>
      <w:r w:rsidR="0018221E">
        <w:rPr>
          <w:rFonts w:eastAsia="Georgia"/>
          <w:lang w:val="en-US"/>
        </w:rPr>
        <w:t xml:space="preserve"> </w:t>
      </w:r>
      <w:r w:rsidRPr="007725E8">
        <w:rPr>
          <w:rFonts w:eastAsia="Georgia"/>
          <w:i/>
          <w:iCs/>
          <w:lang w:val="en-US"/>
        </w:rPr>
        <w:t>Social Cognition: How Individuals Construct</w:t>
      </w:r>
      <w:r w:rsidR="00265671">
        <w:rPr>
          <w:rFonts w:eastAsia="Georgia"/>
          <w:i/>
          <w:iCs/>
          <w:lang w:val="en-US"/>
        </w:rPr>
        <w:t xml:space="preserve"> </w:t>
      </w:r>
      <w:r w:rsidRPr="007725E8">
        <w:rPr>
          <w:rFonts w:eastAsia="Georgia"/>
          <w:i/>
          <w:iCs/>
          <w:lang w:val="en-US"/>
        </w:rPr>
        <w:t>Social Reality.</w:t>
      </w:r>
      <w:r w:rsidRPr="007725E8">
        <w:rPr>
          <w:rFonts w:eastAsia="Georgia"/>
          <w:lang w:val="en-US"/>
        </w:rPr>
        <w:t xml:space="preserve"> Hove: Psychology Press.</w:t>
      </w:r>
    </w:p>
    <w:p w14:paraId="5FCEA742" w14:textId="45F6615B" w:rsidR="00C34D92" w:rsidRPr="007725E8" w:rsidRDefault="00861662" w:rsidP="00F2601A">
      <w:pPr>
        <w:pStyle w:val="Bezodstpw"/>
        <w:jc w:val="both"/>
        <w:rPr>
          <w:lang w:val="en-US"/>
        </w:rPr>
      </w:pPr>
      <w:r w:rsidRPr="007725E8">
        <w:rPr>
          <w:rFonts w:eastAsia="Georgia"/>
          <w:lang w:val="en-US"/>
        </w:rPr>
        <w:t>Boot</w:t>
      </w:r>
      <w:r w:rsidR="00F02286">
        <w:rPr>
          <w:rFonts w:eastAsia="Georgia"/>
          <w:lang w:val="en-US"/>
        </w:rPr>
        <w:t xml:space="preserve">s </w:t>
      </w:r>
      <w:r w:rsidRPr="007725E8">
        <w:rPr>
          <w:rFonts w:eastAsia="Georgia"/>
          <w:lang w:val="en-US"/>
        </w:rPr>
        <w:t>Heritage.</w:t>
      </w:r>
      <w:r w:rsidR="00F02286">
        <w:rPr>
          <w:rFonts w:eastAsia="Georgia"/>
          <w:lang w:val="en-US"/>
        </w:rPr>
        <w:t xml:space="preserve"> </w:t>
      </w:r>
      <w:r w:rsidRPr="007725E8">
        <w:rPr>
          <w:rFonts w:eastAsia="Georgia"/>
          <w:lang w:val="en-US"/>
        </w:rPr>
        <w:t>(</w:t>
      </w:r>
      <w:proofErr w:type="spellStart"/>
      <w:r w:rsidRPr="007725E8">
        <w:rPr>
          <w:rFonts w:eastAsia="Georgia"/>
          <w:lang w:val="en-US"/>
        </w:rPr>
        <w:t>brak</w:t>
      </w:r>
      <w:proofErr w:type="spellEnd"/>
      <w:r w:rsidRPr="007725E8">
        <w:rPr>
          <w:rFonts w:eastAsia="Georgia"/>
          <w:lang w:val="en-US"/>
        </w:rPr>
        <w:t xml:space="preserve"> </w:t>
      </w:r>
      <w:proofErr w:type="spellStart"/>
      <w:r w:rsidRPr="007725E8">
        <w:rPr>
          <w:rFonts w:eastAsia="Georgia"/>
          <w:lang w:val="en-US"/>
        </w:rPr>
        <w:t>daty</w:t>
      </w:r>
      <w:proofErr w:type="spellEnd"/>
      <w:r w:rsidRPr="007725E8">
        <w:rPr>
          <w:rFonts w:eastAsia="Georgia"/>
          <w:lang w:val="en-US"/>
        </w:rPr>
        <w:t>)</w:t>
      </w:r>
      <w:r w:rsidR="00F02286" w:rsidRPr="007725E8">
        <w:rPr>
          <w:rFonts w:eastAsia="Georgia"/>
          <w:sz w:val="19"/>
          <w:szCs w:val="19"/>
          <w:lang w:val="en-US"/>
        </w:rPr>
        <w:t xml:space="preserve"> </w:t>
      </w:r>
      <w:r w:rsidRPr="007725E8">
        <w:rPr>
          <w:rFonts w:eastAsia="Georgia"/>
          <w:sz w:val="19"/>
          <w:szCs w:val="19"/>
          <w:lang w:val="en-US"/>
        </w:rPr>
        <w:t>http://www.boots-uk.com/About_Boots/Boots_Heritage.aspx.</w:t>
      </w:r>
      <w:r w:rsidR="00265671" w:rsidRPr="007725E8">
        <w:rPr>
          <w:rFonts w:eastAsia="Georgia"/>
          <w:lang w:val="en-US"/>
        </w:rPr>
        <w:t xml:space="preserve"> </w:t>
      </w:r>
      <w:r w:rsidRPr="007725E8">
        <w:rPr>
          <w:rFonts w:eastAsia="Georgia"/>
          <w:lang w:val="en-US"/>
        </w:rPr>
        <w:t>[</w:t>
      </w:r>
      <w:proofErr w:type="spellStart"/>
      <w:r w:rsidRPr="007725E8">
        <w:rPr>
          <w:rFonts w:eastAsia="Georgia"/>
          <w:lang w:val="en-US"/>
        </w:rPr>
        <w:t>dostęp</w:t>
      </w:r>
      <w:proofErr w:type="spellEnd"/>
      <w:r w:rsidRPr="007725E8">
        <w:rPr>
          <w:rFonts w:eastAsia="Georgia"/>
          <w:lang w:val="en-US"/>
        </w:rPr>
        <w:t>: 27.05.2011]</w:t>
      </w:r>
    </w:p>
    <w:p w14:paraId="38507158" w14:textId="77777777" w:rsidR="00C34D92" w:rsidRPr="005D2BAF" w:rsidRDefault="00861662" w:rsidP="00F2601A">
      <w:pPr>
        <w:pStyle w:val="Bezodstpw"/>
        <w:jc w:val="both"/>
        <w:rPr>
          <w:lang w:val="en-US"/>
        </w:rPr>
      </w:pPr>
      <w:r w:rsidRPr="007725E8">
        <w:rPr>
          <w:rFonts w:eastAsia="Georgia"/>
          <w:lang w:val="en-US"/>
        </w:rPr>
        <w:t>Caldas-</w:t>
      </w:r>
      <w:proofErr w:type="spellStart"/>
      <w:r w:rsidRPr="007725E8">
        <w:rPr>
          <w:rFonts w:eastAsia="Georgia"/>
          <w:lang w:val="en-US"/>
        </w:rPr>
        <w:t>Coulthard</w:t>
      </w:r>
      <w:proofErr w:type="spellEnd"/>
      <w:r w:rsidRPr="007725E8">
        <w:rPr>
          <w:rFonts w:eastAsia="Georgia"/>
          <w:lang w:val="en-US"/>
        </w:rPr>
        <w:t xml:space="preserve">, C. </w:t>
      </w:r>
      <w:proofErr w:type="spellStart"/>
      <w:r w:rsidRPr="007725E8">
        <w:rPr>
          <w:rFonts w:eastAsia="Georgia"/>
          <w:lang w:val="en-US"/>
        </w:rPr>
        <w:t>i</w:t>
      </w:r>
      <w:proofErr w:type="spellEnd"/>
      <w:r w:rsidRPr="007725E8">
        <w:rPr>
          <w:rFonts w:eastAsia="Georgia"/>
          <w:lang w:val="en-US"/>
        </w:rPr>
        <w:t xml:space="preserve"> T. van Leeuwen (2002). Stunning, shimmering, iridescent: Toys as the representation of gendered social actors. W: L. </w:t>
      </w:r>
      <w:proofErr w:type="spellStart"/>
      <w:r w:rsidRPr="007725E8">
        <w:rPr>
          <w:rFonts w:eastAsia="Georgia"/>
          <w:lang w:val="en-US"/>
        </w:rPr>
        <w:t>Litosseliti</w:t>
      </w:r>
      <w:proofErr w:type="spellEnd"/>
      <w:r w:rsidRPr="007725E8">
        <w:rPr>
          <w:rFonts w:eastAsia="Georgia"/>
          <w:lang w:val="en-US"/>
        </w:rPr>
        <w:t xml:space="preserve"> </w:t>
      </w:r>
      <w:proofErr w:type="spellStart"/>
      <w:r w:rsidRPr="007725E8">
        <w:rPr>
          <w:rFonts w:eastAsia="Georgia"/>
          <w:lang w:val="en-US"/>
        </w:rPr>
        <w:t>i</w:t>
      </w:r>
      <w:proofErr w:type="spellEnd"/>
      <w:r w:rsidRPr="007725E8">
        <w:rPr>
          <w:rFonts w:eastAsia="Georgia"/>
          <w:lang w:val="en-US"/>
        </w:rPr>
        <w:t xml:space="preserve"> J. Sunderland (red.), </w:t>
      </w:r>
      <w:r w:rsidRPr="007725E8">
        <w:rPr>
          <w:rFonts w:eastAsia="Georgia"/>
          <w:i/>
          <w:iCs/>
          <w:lang w:val="en-US"/>
        </w:rPr>
        <w:t>Gender Identity and Discourse Analysis.</w:t>
      </w:r>
      <w:r w:rsidRPr="007725E8">
        <w:rPr>
          <w:rFonts w:eastAsia="Georgia"/>
          <w:lang w:val="en-US"/>
        </w:rPr>
        <w:t xml:space="preserve"> Amsterdam: Benjamins. s. 91–108.</w:t>
      </w:r>
    </w:p>
    <w:p w14:paraId="3B9828D8" w14:textId="09B6B376" w:rsidR="00C34D92" w:rsidRPr="005D2BAF" w:rsidRDefault="00861662" w:rsidP="00F2601A">
      <w:pPr>
        <w:pStyle w:val="Bezodstpw"/>
        <w:jc w:val="both"/>
        <w:rPr>
          <w:lang w:val="en-US"/>
        </w:rPr>
      </w:pPr>
      <w:r w:rsidRPr="007725E8">
        <w:rPr>
          <w:rFonts w:eastAsia="Georgia"/>
          <w:lang w:val="en-US"/>
        </w:rPr>
        <w:t xml:space="preserve">Cameron, D. (1997). Performing gender identity: Young men’s talk and the construction of heterosexual masculinity. W: S. Johnson </w:t>
      </w:r>
      <w:proofErr w:type="spellStart"/>
      <w:r w:rsidRPr="007725E8">
        <w:rPr>
          <w:rFonts w:eastAsia="Georgia"/>
          <w:lang w:val="en-US"/>
        </w:rPr>
        <w:t>i</w:t>
      </w:r>
      <w:proofErr w:type="spellEnd"/>
      <w:r w:rsidRPr="007725E8">
        <w:rPr>
          <w:rFonts w:eastAsia="Georgia"/>
          <w:lang w:val="en-US"/>
        </w:rPr>
        <w:t xml:space="preserve"> U.H. </w:t>
      </w:r>
      <w:proofErr w:type="spellStart"/>
      <w:r w:rsidRPr="007725E8">
        <w:rPr>
          <w:rFonts w:eastAsia="Georgia"/>
          <w:lang w:val="en-US"/>
        </w:rPr>
        <w:t>Meinhof</w:t>
      </w:r>
      <w:proofErr w:type="spellEnd"/>
      <w:r w:rsidRPr="007725E8">
        <w:rPr>
          <w:rFonts w:eastAsia="Georgia"/>
          <w:lang w:val="en-US"/>
        </w:rPr>
        <w:t xml:space="preserve"> (red.), </w:t>
      </w:r>
      <w:r w:rsidRPr="007725E8">
        <w:rPr>
          <w:rFonts w:eastAsia="Georgia"/>
          <w:i/>
          <w:iCs/>
          <w:lang w:val="en-US"/>
        </w:rPr>
        <w:t>Language and Masculinity</w:t>
      </w:r>
      <w:r w:rsidRPr="007725E8">
        <w:rPr>
          <w:rFonts w:eastAsia="Georgia"/>
          <w:lang w:val="en-US"/>
        </w:rPr>
        <w:t>. Oxford: Blackwell. s. 47</w:t>
      </w:r>
      <w:r w:rsidR="00B10815">
        <w:rPr>
          <w:rFonts w:eastAsia="Georgia"/>
          <w:lang w:val="en-US"/>
        </w:rPr>
        <w:t>–</w:t>
      </w:r>
      <w:r w:rsidRPr="007725E8">
        <w:rPr>
          <w:rFonts w:eastAsia="Georgia"/>
          <w:lang w:val="en-US"/>
        </w:rPr>
        <w:t>64.</w:t>
      </w:r>
    </w:p>
    <w:p w14:paraId="1343AE37" w14:textId="32050993" w:rsidR="00C34D92" w:rsidRPr="005D2BAF" w:rsidRDefault="00861662" w:rsidP="00F2601A">
      <w:pPr>
        <w:pStyle w:val="Bezodstpw"/>
        <w:jc w:val="both"/>
        <w:rPr>
          <w:lang w:val="en-US"/>
        </w:rPr>
      </w:pPr>
      <w:r w:rsidRPr="007725E8">
        <w:rPr>
          <w:rFonts w:eastAsia="Georgia"/>
          <w:lang w:val="en-US"/>
        </w:rPr>
        <w:t>Cameron, D. (2007).</w:t>
      </w:r>
      <w:r w:rsidR="00B10815">
        <w:rPr>
          <w:rFonts w:eastAsia="Georgia"/>
          <w:i/>
          <w:iCs/>
          <w:lang w:val="en-US"/>
        </w:rPr>
        <w:t xml:space="preserve"> </w:t>
      </w:r>
      <w:r w:rsidRPr="007725E8">
        <w:rPr>
          <w:rFonts w:eastAsia="Georgia"/>
          <w:i/>
          <w:iCs/>
          <w:lang w:val="en-US"/>
        </w:rPr>
        <w:t>The Myth of Mars and Venus: Do Men and Women Really Speak</w:t>
      </w:r>
      <w:r w:rsidR="00265671">
        <w:rPr>
          <w:rFonts w:eastAsia="Georgia"/>
          <w:i/>
          <w:iCs/>
          <w:lang w:val="en-US"/>
        </w:rPr>
        <w:t xml:space="preserve"> </w:t>
      </w:r>
      <w:r w:rsidRPr="007725E8">
        <w:rPr>
          <w:rFonts w:eastAsia="Georgia"/>
          <w:i/>
          <w:iCs/>
          <w:lang w:val="en-US"/>
        </w:rPr>
        <w:t>Different Languages?</w:t>
      </w:r>
      <w:r w:rsidRPr="007725E8">
        <w:rPr>
          <w:rFonts w:eastAsia="Georgia"/>
          <w:lang w:val="en-US"/>
        </w:rPr>
        <w:t xml:space="preserve"> Oxford: Oxford University Press.</w:t>
      </w:r>
    </w:p>
    <w:p w14:paraId="785B76B0" w14:textId="77777777" w:rsidR="00C34D92" w:rsidRPr="005D2BAF" w:rsidRDefault="00861662" w:rsidP="00F2601A">
      <w:pPr>
        <w:pStyle w:val="Bezodstpw"/>
        <w:jc w:val="both"/>
        <w:rPr>
          <w:lang w:val="en-US"/>
        </w:rPr>
      </w:pPr>
      <w:r w:rsidRPr="007725E8">
        <w:rPr>
          <w:rFonts w:eastAsia="Georgia"/>
          <w:lang w:val="en-US"/>
        </w:rPr>
        <w:t xml:space="preserve">Chilton. P. (2004). </w:t>
      </w:r>
      <w:proofErr w:type="spellStart"/>
      <w:r w:rsidRPr="007725E8">
        <w:rPr>
          <w:rFonts w:eastAsia="Georgia"/>
          <w:i/>
          <w:iCs/>
          <w:lang w:val="en-US"/>
        </w:rPr>
        <w:t>Analysing</w:t>
      </w:r>
      <w:proofErr w:type="spellEnd"/>
      <w:r w:rsidRPr="007725E8">
        <w:rPr>
          <w:rFonts w:eastAsia="Georgia"/>
          <w:i/>
          <w:iCs/>
          <w:lang w:val="en-US"/>
        </w:rPr>
        <w:t xml:space="preserve"> Political Discourse: Theory and Practice</w:t>
      </w:r>
      <w:r w:rsidRPr="007725E8">
        <w:rPr>
          <w:rFonts w:eastAsia="Georgia"/>
          <w:lang w:val="en-US"/>
        </w:rPr>
        <w:t>. London: Routledge.</w:t>
      </w:r>
    </w:p>
    <w:p w14:paraId="604E7FAB" w14:textId="71C29423" w:rsidR="00C34D92" w:rsidRPr="005D2BAF" w:rsidRDefault="00861662" w:rsidP="00F2601A">
      <w:pPr>
        <w:pStyle w:val="Bezodstpw"/>
        <w:jc w:val="both"/>
        <w:rPr>
          <w:lang w:val="en-US"/>
        </w:rPr>
      </w:pPr>
      <w:r w:rsidRPr="007725E8">
        <w:rPr>
          <w:rFonts w:eastAsia="Georgia"/>
          <w:lang w:val="en-US"/>
        </w:rPr>
        <w:lastRenderedPageBreak/>
        <w:t xml:space="preserve">Chilton, P. (2005). </w:t>
      </w:r>
      <w:r w:rsidR="0048170F">
        <w:rPr>
          <w:rFonts w:eastAsia="Georgia"/>
          <w:lang w:val="en-US"/>
        </w:rPr>
        <w:t>„</w:t>
      </w:r>
      <w:r w:rsidRPr="007725E8">
        <w:rPr>
          <w:rFonts w:eastAsia="Georgia"/>
          <w:lang w:val="en-US"/>
        </w:rPr>
        <w:t>Missing links in mainstream CDA: Modules, blends and the critical instinct</w:t>
      </w:r>
      <w:r w:rsidR="0048170F">
        <w:rPr>
          <w:rFonts w:eastAsia="Georgia"/>
          <w:lang w:val="en-US"/>
        </w:rPr>
        <w:t>”,</w:t>
      </w:r>
      <w:r w:rsidRPr="007725E8">
        <w:rPr>
          <w:rFonts w:eastAsia="Georgia"/>
          <w:lang w:val="en-US"/>
        </w:rPr>
        <w:t xml:space="preserve"> </w:t>
      </w:r>
      <w:r w:rsidR="0048170F">
        <w:rPr>
          <w:rFonts w:eastAsia="Georgia"/>
          <w:lang w:val="en-US"/>
        </w:rPr>
        <w:t>w</w:t>
      </w:r>
      <w:r w:rsidRPr="007725E8">
        <w:rPr>
          <w:rFonts w:eastAsia="Georgia"/>
          <w:lang w:val="en-US"/>
        </w:rPr>
        <w:t xml:space="preserve">: R. </w:t>
      </w:r>
      <w:proofErr w:type="spellStart"/>
      <w:r w:rsidRPr="007725E8">
        <w:rPr>
          <w:rFonts w:eastAsia="Georgia"/>
          <w:lang w:val="en-US"/>
        </w:rPr>
        <w:t>Wodak</w:t>
      </w:r>
      <w:proofErr w:type="spellEnd"/>
      <w:r w:rsidRPr="007725E8">
        <w:rPr>
          <w:rFonts w:eastAsia="Georgia"/>
          <w:lang w:val="en-US"/>
        </w:rPr>
        <w:t xml:space="preserve"> </w:t>
      </w:r>
      <w:proofErr w:type="spellStart"/>
      <w:r w:rsidRPr="007725E8">
        <w:rPr>
          <w:rFonts w:eastAsia="Georgia"/>
          <w:lang w:val="en-US"/>
        </w:rPr>
        <w:t>i</w:t>
      </w:r>
      <w:proofErr w:type="spellEnd"/>
      <w:r w:rsidRPr="007725E8">
        <w:rPr>
          <w:rFonts w:eastAsia="Georgia"/>
          <w:lang w:val="en-US"/>
        </w:rPr>
        <w:t xml:space="preserve"> P. Chilton (red.), </w:t>
      </w:r>
      <w:r w:rsidRPr="007725E8">
        <w:rPr>
          <w:rFonts w:eastAsia="Georgia"/>
          <w:i/>
          <w:iCs/>
          <w:lang w:val="en-US"/>
        </w:rPr>
        <w:t>A New Agenda in (Critical) Discourse Analysis</w:t>
      </w:r>
      <w:r w:rsidRPr="007725E8">
        <w:rPr>
          <w:rFonts w:eastAsia="Georgia"/>
          <w:lang w:val="en-US"/>
        </w:rPr>
        <w:t>. (Discourse Approaches to Politics, Society and Culture 13). Amsterdam: Benjamins. s. 19–51.</w:t>
      </w:r>
    </w:p>
    <w:p w14:paraId="039717BD" w14:textId="0C940CFE" w:rsidR="00C34D92" w:rsidRPr="005D2BAF" w:rsidRDefault="00861662" w:rsidP="00F2601A">
      <w:pPr>
        <w:pStyle w:val="Bezodstpw"/>
        <w:jc w:val="both"/>
        <w:rPr>
          <w:lang w:val="en-US"/>
        </w:rPr>
      </w:pPr>
      <w:r w:rsidRPr="007725E8">
        <w:rPr>
          <w:rFonts w:eastAsia="Georgia"/>
          <w:lang w:val="en-US"/>
        </w:rPr>
        <w:t>Cook,</w:t>
      </w:r>
      <w:r w:rsidR="00265671">
        <w:rPr>
          <w:rFonts w:eastAsia="Georgia"/>
          <w:lang w:val="en-US"/>
        </w:rPr>
        <w:t xml:space="preserve"> </w:t>
      </w:r>
      <w:r w:rsidRPr="007725E8">
        <w:rPr>
          <w:rFonts w:eastAsia="Georgia"/>
          <w:lang w:val="en-US"/>
        </w:rPr>
        <w:t xml:space="preserve">G. (red.) (2007). </w:t>
      </w:r>
      <w:r w:rsidRPr="007725E8">
        <w:rPr>
          <w:rFonts w:eastAsia="Georgia"/>
          <w:i/>
          <w:iCs/>
          <w:lang w:val="en-US"/>
        </w:rPr>
        <w:t>The Language of Advertising</w:t>
      </w:r>
      <w:r w:rsidRPr="007725E8">
        <w:rPr>
          <w:rFonts w:eastAsia="Georgia"/>
          <w:lang w:val="en-US"/>
        </w:rPr>
        <w:t xml:space="preserve">. 4 </w:t>
      </w:r>
      <w:proofErr w:type="spellStart"/>
      <w:r w:rsidRPr="007725E8">
        <w:rPr>
          <w:rFonts w:eastAsia="Georgia"/>
          <w:lang w:val="en-US"/>
        </w:rPr>
        <w:t>tomy</w:t>
      </w:r>
      <w:proofErr w:type="spellEnd"/>
      <w:r w:rsidRPr="007725E8">
        <w:rPr>
          <w:rFonts w:eastAsia="Georgia"/>
          <w:lang w:val="en-US"/>
        </w:rPr>
        <w:t>. London: Routledge.</w:t>
      </w:r>
    </w:p>
    <w:p w14:paraId="41051945" w14:textId="26C31D47" w:rsidR="00C34D92" w:rsidRPr="005D2BAF" w:rsidRDefault="00861662" w:rsidP="00F2601A">
      <w:pPr>
        <w:pStyle w:val="Bezodstpw"/>
        <w:jc w:val="both"/>
        <w:rPr>
          <w:lang w:val="en-US"/>
        </w:rPr>
      </w:pPr>
      <w:r w:rsidRPr="007725E8">
        <w:rPr>
          <w:rFonts w:eastAsia="Georgia"/>
          <w:lang w:val="en-US"/>
        </w:rPr>
        <w:t xml:space="preserve">Fairclough, N. (2003). </w:t>
      </w:r>
      <w:proofErr w:type="spellStart"/>
      <w:r w:rsidRPr="007725E8">
        <w:rPr>
          <w:rFonts w:eastAsia="Georgia"/>
          <w:i/>
          <w:iCs/>
          <w:lang w:val="en-US"/>
        </w:rPr>
        <w:t>Analysing</w:t>
      </w:r>
      <w:proofErr w:type="spellEnd"/>
      <w:r w:rsidRPr="007725E8">
        <w:rPr>
          <w:rFonts w:eastAsia="Georgia"/>
          <w:i/>
          <w:iCs/>
          <w:lang w:val="en-US"/>
        </w:rPr>
        <w:t xml:space="preserve"> Discourse: Textual Analysis for Social Research</w:t>
      </w:r>
      <w:r w:rsidRPr="007725E8">
        <w:rPr>
          <w:rFonts w:eastAsia="Georgia"/>
          <w:lang w:val="en-US"/>
        </w:rPr>
        <w:t>. London:</w:t>
      </w:r>
      <w:r w:rsidR="00265671">
        <w:rPr>
          <w:rFonts w:eastAsia="Georgia"/>
          <w:lang w:val="en-US"/>
        </w:rPr>
        <w:t xml:space="preserve"> </w:t>
      </w:r>
      <w:r w:rsidRPr="007725E8">
        <w:rPr>
          <w:rFonts w:eastAsia="Georgia"/>
          <w:lang w:val="en-US"/>
        </w:rPr>
        <w:t>Routledge.</w:t>
      </w:r>
    </w:p>
    <w:p w14:paraId="5B3D266F" w14:textId="1F3B42B9" w:rsidR="00C34D92" w:rsidRPr="005D2BAF" w:rsidRDefault="00861662" w:rsidP="00F2601A">
      <w:pPr>
        <w:pStyle w:val="Bezodstpw"/>
        <w:jc w:val="both"/>
        <w:rPr>
          <w:lang w:val="en-US"/>
        </w:rPr>
      </w:pPr>
      <w:r w:rsidRPr="007725E8">
        <w:rPr>
          <w:rFonts w:eastAsia="Georgia"/>
          <w:lang w:val="en-US"/>
        </w:rPr>
        <w:t xml:space="preserve">Fairclough, N. (2010). </w:t>
      </w:r>
      <w:r w:rsidRPr="007725E8">
        <w:rPr>
          <w:rFonts w:eastAsia="Georgia"/>
          <w:i/>
          <w:iCs/>
          <w:lang w:val="en-US"/>
        </w:rPr>
        <w:t>Critical Discourse Analysis</w:t>
      </w:r>
      <w:r w:rsidRPr="007725E8">
        <w:rPr>
          <w:rFonts w:eastAsia="Georgia"/>
          <w:lang w:val="en-US"/>
        </w:rPr>
        <w:t xml:space="preserve">. </w:t>
      </w:r>
      <w:r w:rsidR="0048170F">
        <w:rPr>
          <w:rFonts w:eastAsia="Georgia"/>
          <w:lang w:val="en-US"/>
        </w:rPr>
        <w:t>w</w:t>
      </w:r>
      <w:r w:rsidR="0048170F" w:rsidRPr="007725E8">
        <w:rPr>
          <w:rFonts w:eastAsia="Georgia"/>
          <w:lang w:val="en-US"/>
        </w:rPr>
        <w:t>yd</w:t>
      </w:r>
      <w:r w:rsidRPr="007725E8">
        <w:rPr>
          <w:rFonts w:eastAsia="Georgia"/>
          <w:lang w:val="en-US"/>
        </w:rPr>
        <w:t>. 2. London: Longman.</w:t>
      </w:r>
    </w:p>
    <w:p w14:paraId="7A7DD9AE" w14:textId="77777777" w:rsidR="00C34D92" w:rsidRPr="005D2BAF" w:rsidRDefault="00861662" w:rsidP="00F2601A">
      <w:pPr>
        <w:pStyle w:val="Bezodstpw"/>
        <w:jc w:val="both"/>
        <w:rPr>
          <w:lang w:val="en-US"/>
        </w:rPr>
      </w:pPr>
      <w:r w:rsidRPr="007725E8">
        <w:rPr>
          <w:rFonts w:eastAsia="Georgia"/>
          <w:lang w:val="en-US"/>
        </w:rPr>
        <w:t xml:space="preserve">Fine, C. (2010). </w:t>
      </w:r>
      <w:r w:rsidRPr="007725E8">
        <w:rPr>
          <w:rFonts w:eastAsia="Georgia"/>
          <w:i/>
          <w:iCs/>
          <w:lang w:val="en-US"/>
        </w:rPr>
        <w:t>Delusions of Gender: The Real Science Behind Sex Differences</w:t>
      </w:r>
      <w:r w:rsidRPr="007725E8">
        <w:rPr>
          <w:rFonts w:eastAsia="Georgia"/>
          <w:lang w:val="en-US"/>
        </w:rPr>
        <w:t>. London: Icon Books.</w:t>
      </w:r>
    </w:p>
    <w:p w14:paraId="426FB8E4" w14:textId="1ABBC6A1" w:rsidR="00C34D92" w:rsidRPr="005D2BAF" w:rsidRDefault="00861662" w:rsidP="00F2601A">
      <w:pPr>
        <w:pStyle w:val="Bezodstpw"/>
        <w:jc w:val="both"/>
        <w:rPr>
          <w:lang w:val="en-US"/>
        </w:rPr>
      </w:pPr>
      <w:r w:rsidRPr="007725E8">
        <w:rPr>
          <w:rFonts w:eastAsia="Georgia"/>
          <w:lang w:val="en-US"/>
        </w:rPr>
        <w:t xml:space="preserve">Goffman, E. (1979a). Footing. </w:t>
      </w:r>
      <w:proofErr w:type="spellStart"/>
      <w:r w:rsidRPr="007725E8">
        <w:rPr>
          <w:rFonts w:eastAsia="Georgia"/>
          <w:i/>
          <w:iCs/>
          <w:lang w:val="en-US"/>
        </w:rPr>
        <w:t>Semiotica</w:t>
      </w:r>
      <w:proofErr w:type="spellEnd"/>
      <w:r w:rsidRPr="007725E8">
        <w:rPr>
          <w:rFonts w:eastAsia="Georgia"/>
          <w:lang w:val="en-US"/>
        </w:rPr>
        <w:t xml:space="preserve"> 25(1</w:t>
      </w:r>
      <w:r w:rsidR="00B10815">
        <w:rPr>
          <w:rFonts w:eastAsia="Georgia"/>
          <w:lang w:val="en-US"/>
        </w:rPr>
        <w:t>–</w:t>
      </w:r>
      <w:r w:rsidRPr="007725E8">
        <w:rPr>
          <w:rFonts w:eastAsia="Georgia"/>
          <w:lang w:val="en-US"/>
        </w:rPr>
        <w:t>2): 1–30.</w:t>
      </w:r>
    </w:p>
    <w:p w14:paraId="648D24D5" w14:textId="77777777" w:rsidR="00C34D92" w:rsidRPr="005D2BAF" w:rsidRDefault="00861662" w:rsidP="00F2601A">
      <w:pPr>
        <w:pStyle w:val="Bezodstpw"/>
        <w:jc w:val="both"/>
        <w:rPr>
          <w:lang w:val="en-US"/>
        </w:rPr>
      </w:pPr>
      <w:r w:rsidRPr="007725E8">
        <w:rPr>
          <w:rFonts w:eastAsia="Georgia"/>
          <w:lang w:val="en-US"/>
        </w:rPr>
        <w:t xml:space="preserve">Goffman, E. (1979b). </w:t>
      </w:r>
      <w:r w:rsidRPr="007725E8">
        <w:rPr>
          <w:rFonts w:eastAsia="Georgia"/>
          <w:i/>
          <w:iCs/>
          <w:lang w:val="en-US"/>
        </w:rPr>
        <w:t>Gender Advertisements</w:t>
      </w:r>
      <w:r w:rsidRPr="007725E8">
        <w:rPr>
          <w:rFonts w:eastAsia="Georgia"/>
          <w:lang w:val="en-US"/>
        </w:rPr>
        <w:t>. London: Macmillan.</w:t>
      </w:r>
    </w:p>
    <w:p w14:paraId="12D61307" w14:textId="0AA2B9D8" w:rsidR="00C34D92" w:rsidRPr="007725E8" w:rsidRDefault="00861662" w:rsidP="00F2601A">
      <w:pPr>
        <w:pStyle w:val="Bezodstpw"/>
        <w:jc w:val="both"/>
        <w:rPr>
          <w:lang w:val="en-US"/>
        </w:rPr>
      </w:pPr>
      <w:r w:rsidRPr="007725E8">
        <w:rPr>
          <w:rFonts w:eastAsia="Georgia"/>
          <w:lang w:val="en-US"/>
        </w:rPr>
        <w:t xml:space="preserve">Halliday, M.A.K. and C. Matthiessen (2004). </w:t>
      </w:r>
      <w:r w:rsidRPr="007725E8">
        <w:rPr>
          <w:rFonts w:eastAsia="Georgia"/>
          <w:i/>
          <w:iCs/>
          <w:lang w:val="en-US"/>
        </w:rPr>
        <w:t>Introduction to Functional Grammar</w:t>
      </w:r>
      <w:r w:rsidRPr="007725E8">
        <w:rPr>
          <w:rFonts w:eastAsia="Georgia"/>
          <w:lang w:val="en-US"/>
        </w:rPr>
        <w:t>. Wyd. 3.</w:t>
      </w:r>
      <w:r w:rsidR="00265671">
        <w:rPr>
          <w:rFonts w:eastAsia="Georgia"/>
          <w:lang w:val="en-US"/>
        </w:rPr>
        <w:t xml:space="preserve"> </w:t>
      </w:r>
      <w:r w:rsidRPr="007725E8">
        <w:rPr>
          <w:rFonts w:eastAsia="Georgia"/>
          <w:lang w:val="en-US"/>
        </w:rPr>
        <w:t>London: Arnold.</w:t>
      </w:r>
      <w:bookmarkStart w:id="15" w:name="page19"/>
      <w:bookmarkEnd w:id="15"/>
    </w:p>
    <w:p w14:paraId="7C2CA20C" w14:textId="1FC05CE7" w:rsidR="00C34D92" w:rsidRPr="007725E8" w:rsidRDefault="00861662" w:rsidP="00F2601A">
      <w:pPr>
        <w:pStyle w:val="Bezodstpw"/>
        <w:jc w:val="both"/>
        <w:rPr>
          <w:lang w:val="en-US"/>
        </w:rPr>
      </w:pPr>
      <w:r w:rsidRPr="007725E8">
        <w:rPr>
          <w:rFonts w:eastAsia="Georgia"/>
          <w:lang w:val="en-US"/>
        </w:rPr>
        <w:t xml:space="preserve">Hardie, A., Koller, V., </w:t>
      </w:r>
      <w:proofErr w:type="spellStart"/>
      <w:r w:rsidRPr="007725E8">
        <w:rPr>
          <w:rFonts w:eastAsia="Georgia"/>
          <w:lang w:val="en-US"/>
        </w:rPr>
        <w:t>Rayson</w:t>
      </w:r>
      <w:proofErr w:type="spellEnd"/>
      <w:r w:rsidRPr="007725E8">
        <w:rPr>
          <w:rFonts w:eastAsia="Georgia"/>
          <w:lang w:val="en-US"/>
        </w:rPr>
        <w:t xml:space="preserve">, P. </w:t>
      </w:r>
      <w:proofErr w:type="spellStart"/>
      <w:r w:rsidRPr="007725E8">
        <w:rPr>
          <w:rFonts w:eastAsia="Georgia"/>
          <w:lang w:val="en-US"/>
        </w:rPr>
        <w:t>i</w:t>
      </w:r>
      <w:proofErr w:type="spellEnd"/>
      <w:r w:rsidRPr="007725E8">
        <w:rPr>
          <w:rFonts w:eastAsia="Georgia"/>
          <w:lang w:val="en-US"/>
        </w:rPr>
        <w:t xml:space="preserve"> E. </w:t>
      </w:r>
      <w:proofErr w:type="spellStart"/>
      <w:r w:rsidRPr="007725E8">
        <w:rPr>
          <w:rFonts w:eastAsia="Georgia"/>
          <w:lang w:val="en-US"/>
        </w:rPr>
        <w:t>Semino</w:t>
      </w:r>
      <w:proofErr w:type="spellEnd"/>
      <w:r w:rsidRPr="007725E8">
        <w:rPr>
          <w:rFonts w:eastAsia="Georgia"/>
          <w:lang w:val="en-US"/>
        </w:rPr>
        <w:t xml:space="preserve"> (2007). Exploiting a semantic annotation tool for metaphor analysis. In M. Davies, P. </w:t>
      </w:r>
      <w:proofErr w:type="spellStart"/>
      <w:r w:rsidRPr="007725E8">
        <w:rPr>
          <w:rFonts w:eastAsia="Georgia"/>
          <w:lang w:val="en-US"/>
        </w:rPr>
        <w:t>Rayson</w:t>
      </w:r>
      <w:proofErr w:type="spellEnd"/>
      <w:r w:rsidRPr="007725E8">
        <w:rPr>
          <w:rFonts w:eastAsia="Georgia"/>
          <w:lang w:val="en-US"/>
        </w:rPr>
        <w:t>, S. Hunston and P. Danielsson (red.),</w:t>
      </w:r>
    </w:p>
    <w:p w14:paraId="2337D797" w14:textId="64248410" w:rsidR="00C34D92" w:rsidRPr="007725E8" w:rsidRDefault="00861662" w:rsidP="00F2601A">
      <w:pPr>
        <w:pStyle w:val="Bezodstpw"/>
        <w:jc w:val="both"/>
        <w:rPr>
          <w:lang w:val="en-US"/>
        </w:rPr>
      </w:pPr>
      <w:r w:rsidRPr="007725E8">
        <w:rPr>
          <w:rFonts w:eastAsia="Georgia"/>
          <w:i/>
          <w:iCs/>
          <w:lang w:val="en-US"/>
        </w:rPr>
        <w:t>Proceedings</w:t>
      </w:r>
      <w:r w:rsidR="00265671">
        <w:rPr>
          <w:rFonts w:eastAsia="Georgia"/>
          <w:i/>
          <w:iCs/>
          <w:lang w:val="en-US"/>
        </w:rPr>
        <w:t xml:space="preserve"> </w:t>
      </w:r>
      <w:r w:rsidRPr="007725E8">
        <w:rPr>
          <w:rFonts w:eastAsia="Georgia"/>
          <w:i/>
          <w:iCs/>
          <w:lang w:val="en-US"/>
        </w:rPr>
        <w:t>of</w:t>
      </w:r>
      <w:r w:rsidR="00265671">
        <w:rPr>
          <w:rFonts w:eastAsia="Georgia"/>
          <w:i/>
          <w:iCs/>
          <w:lang w:val="en-US"/>
        </w:rPr>
        <w:t xml:space="preserve"> </w:t>
      </w:r>
      <w:r w:rsidRPr="007725E8">
        <w:rPr>
          <w:rFonts w:eastAsia="Georgia"/>
          <w:i/>
          <w:iCs/>
          <w:lang w:val="en-US"/>
        </w:rPr>
        <w:t>the</w:t>
      </w:r>
      <w:r w:rsidR="00265671">
        <w:rPr>
          <w:rFonts w:eastAsia="Georgia"/>
          <w:i/>
          <w:iCs/>
          <w:lang w:val="en-US"/>
        </w:rPr>
        <w:t xml:space="preserve"> </w:t>
      </w:r>
      <w:r w:rsidRPr="007725E8">
        <w:rPr>
          <w:rFonts w:eastAsia="Georgia"/>
          <w:i/>
          <w:iCs/>
          <w:lang w:val="en-US"/>
        </w:rPr>
        <w:t>Corpus</w:t>
      </w:r>
      <w:r w:rsidR="00265671">
        <w:rPr>
          <w:rFonts w:eastAsia="Georgia"/>
          <w:i/>
          <w:iCs/>
          <w:lang w:val="en-US"/>
        </w:rPr>
        <w:t xml:space="preserve"> </w:t>
      </w:r>
      <w:r w:rsidRPr="007725E8">
        <w:rPr>
          <w:rFonts w:eastAsia="Georgia"/>
          <w:i/>
          <w:iCs/>
          <w:lang w:val="en-US"/>
        </w:rPr>
        <w:t>Linguistics</w:t>
      </w:r>
      <w:r w:rsidR="00265671">
        <w:rPr>
          <w:rFonts w:eastAsia="Georgia"/>
          <w:i/>
          <w:iCs/>
          <w:lang w:val="en-US"/>
        </w:rPr>
        <w:t xml:space="preserve"> </w:t>
      </w:r>
      <w:r w:rsidRPr="007725E8">
        <w:rPr>
          <w:rFonts w:eastAsia="Georgia"/>
          <w:i/>
          <w:iCs/>
          <w:lang w:val="en-US"/>
        </w:rPr>
        <w:t>2007</w:t>
      </w:r>
      <w:r w:rsidR="00265671">
        <w:rPr>
          <w:rFonts w:eastAsia="Georgia"/>
          <w:i/>
          <w:iCs/>
          <w:lang w:val="en-US"/>
        </w:rPr>
        <w:t xml:space="preserve"> </w:t>
      </w:r>
      <w:r w:rsidRPr="007725E8">
        <w:rPr>
          <w:rFonts w:eastAsia="Georgia"/>
          <w:i/>
          <w:iCs/>
          <w:lang w:val="en-US"/>
        </w:rPr>
        <w:t>Conference.</w:t>
      </w:r>
      <w:r w:rsidR="00265671">
        <w:rPr>
          <w:rFonts w:eastAsia="Georgia"/>
          <w:lang w:val="en-US"/>
        </w:rPr>
        <w:t xml:space="preserve"> </w:t>
      </w:r>
      <w:r w:rsidRPr="007725E8">
        <w:rPr>
          <w:rFonts w:eastAsia="Georgia"/>
          <w:lang w:val="en-US"/>
        </w:rPr>
        <w:t>http://corpus.bham.ac.uk/corplingproceedings07/paper/49_Paper.pdf.</w:t>
      </w:r>
    </w:p>
    <w:p w14:paraId="470B937B" w14:textId="4B767659" w:rsidR="00C34D92" w:rsidRPr="005D2BAF" w:rsidRDefault="00861662" w:rsidP="00F2601A">
      <w:pPr>
        <w:pStyle w:val="Bezodstpw"/>
        <w:jc w:val="both"/>
        <w:rPr>
          <w:lang w:val="en-US"/>
        </w:rPr>
      </w:pPr>
      <w:r w:rsidRPr="007725E8">
        <w:rPr>
          <w:rFonts w:eastAsia="Georgia"/>
          <w:lang w:val="en-US"/>
        </w:rPr>
        <w:t xml:space="preserve">Hart, C. </w:t>
      </w:r>
      <w:proofErr w:type="spellStart"/>
      <w:r w:rsidRPr="007725E8">
        <w:rPr>
          <w:rFonts w:eastAsia="Georgia"/>
          <w:lang w:val="en-US"/>
        </w:rPr>
        <w:t>i</w:t>
      </w:r>
      <w:proofErr w:type="spellEnd"/>
      <w:r w:rsidRPr="007725E8">
        <w:rPr>
          <w:rFonts w:eastAsia="Georgia"/>
          <w:lang w:val="en-US"/>
        </w:rPr>
        <w:t xml:space="preserve"> D. </w:t>
      </w:r>
      <w:proofErr w:type="spellStart"/>
      <w:r w:rsidRPr="007725E8">
        <w:rPr>
          <w:rFonts w:eastAsia="Georgia"/>
          <w:lang w:val="en-US"/>
        </w:rPr>
        <w:t>Lukes</w:t>
      </w:r>
      <w:proofErr w:type="spellEnd"/>
      <w:r w:rsidRPr="007725E8">
        <w:rPr>
          <w:rFonts w:eastAsia="Georgia"/>
          <w:lang w:val="en-US"/>
        </w:rPr>
        <w:t xml:space="preserve"> (red.) (2007).</w:t>
      </w:r>
      <w:r w:rsidR="0018221E">
        <w:rPr>
          <w:rFonts w:eastAsia="Georgia"/>
          <w:i/>
          <w:iCs/>
          <w:lang w:val="en-US"/>
        </w:rPr>
        <w:t xml:space="preserve"> </w:t>
      </w:r>
      <w:r w:rsidRPr="007725E8">
        <w:rPr>
          <w:rFonts w:eastAsia="Georgia"/>
          <w:i/>
          <w:iCs/>
          <w:lang w:val="en-US"/>
        </w:rPr>
        <w:t>Cognitive Linguistics in Critical Discourse Analysis:</w:t>
      </w:r>
      <w:r w:rsidR="00265671">
        <w:rPr>
          <w:rFonts w:eastAsia="Georgia"/>
          <w:i/>
          <w:iCs/>
          <w:lang w:val="en-US"/>
        </w:rPr>
        <w:t xml:space="preserve"> </w:t>
      </w:r>
      <w:r w:rsidRPr="007725E8">
        <w:rPr>
          <w:rFonts w:eastAsia="Georgia"/>
          <w:i/>
          <w:iCs/>
          <w:lang w:val="en-US"/>
        </w:rPr>
        <w:t>Application and Theory</w:t>
      </w:r>
      <w:r w:rsidRPr="007725E8">
        <w:rPr>
          <w:rFonts w:eastAsia="Georgia"/>
          <w:lang w:val="en-US"/>
        </w:rPr>
        <w:t>. Newcastle: Cambridge Scholars Publishing.</w:t>
      </w:r>
    </w:p>
    <w:p w14:paraId="1AF982C0" w14:textId="77777777" w:rsidR="00C34D92" w:rsidRPr="005D2BAF" w:rsidRDefault="00861662" w:rsidP="00F2601A">
      <w:pPr>
        <w:pStyle w:val="Bezodstpw"/>
        <w:jc w:val="both"/>
        <w:rPr>
          <w:lang w:val="en-US"/>
        </w:rPr>
      </w:pPr>
      <w:r w:rsidRPr="007725E8">
        <w:rPr>
          <w:rFonts w:eastAsia="Georgia"/>
          <w:lang w:val="en-US"/>
        </w:rPr>
        <w:t xml:space="preserve">Inoue, M. (2006). Language and gender in an age of neoliberalism. </w:t>
      </w:r>
      <w:r w:rsidRPr="007725E8">
        <w:rPr>
          <w:rFonts w:eastAsia="Georgia"/>
          <w:i/>
          <w:iCs/>
          <w:lang w:val="en-US"/>
        </w:rPr>
        <w:t xml:space="preserve">Gender and Language </w:t>
      </w:r>
      <w:r w:rsidRPr="007725E8">
        <w:rPr>
          <w:rFonts w:eastAsia="Georgia"/>
          <w:lang w:val="en-US"/>
        </w:rPr>
        <w:t>1(1): 79–91.</w:t>
      </w:r>
    </w:p>
    <w:p w14:paraId="76C1A1E4" w14:textId="7BA64F88" w:rsidR="00C34D92" w:rsidRPr="005D2BAF" w:rsidRDefault="00861662" w:rsidP="00F2601A">
      <w:pPr>
        <w:pStyle w:val="Bezodstpw"/>
        <w:jc w:val="both"/>
        <w:rPr>
          <w:lang w:val="en-US"/>
        </w:rPr>
      </w:pPr>
      <w:r w:rsidRPr="007725E8">
        <w:rPr>
          <w:rFonts w:eastAsia="Georgia"/>
          <w:lang w:val="en-US"/>
        </w:rPr>
        <w:t>Koller, V. (2004). Businesswomen and war metaphors: ‘Possessive, jealous and pugnacious’?.</w:t>
      </w:r>
      <w:r w:rsidR="00265671">
        <w:rPr>
          <w:rFonts w:eastAsia="Georgia"/>
          <w:lang w:val="en-US"/>
        </w:rPr>
        <w:t xml:space="preserve"> </w:t>
      </w:r>
      <w:r w:rsidR="00265671">
        <w:rPr>
          <w:rFonts w:eastAsia="Georgia"/>
          <w:i/>
          <w:iCs/>
          <w:lang w:val="en-US"/>
        </w:rPr>
        <w:t>J</w:t>
      </w:r>
      <w:r w:rsidRPr="007725E8">
        <w:rPr>
          <w:rFonts w:eastAsia="Georgia"/>
          <w:i/>
          <w:iCs/>
          <w:lang w:val="en-US"/>
        </w:rPr>
        <w:t>ournal of Sociolinguistics</w:t>
      </w:r>
      <w:r w:rsidRPr="007725E8">
        <w:rPr>
          <w:rFonts w:eastAsia="Georgia"/>
          <w:lang w:val="en-US"/>
        </w:rPr>
        <w:t xml:space="preserve"> 8(1): 3–22.</w:t>
      </w:r>
    </w:p>
    <w:p w14:paraId="26BADC97" w14:textId="30BC17AE" w:rsidR="00C34D92" w:rsidRPr="005D2BAF" w:rsidRDefault="00861662" w:rsidP="00F2601A">
      <w:pPr>
        <w:pStyle w:val="Bezodstpw"/>
        <w:jc w:val="both"/>
        <w:rPr>
          <w:lang w:val="en-US"/>
        </w:rPr>
      </w:pPr>
      <w:r w:rsidRPr="007725E8">
        <w:rPr>
          <w:rFonts w:eastAsia="Georgia"/>
          <w:lang w:val="en-US"/>
        </w:rPr>
        <w:t>Koller, V. (2005).</w:t>
      </w:r>
      <w:r w:rsidR="0018221E">
        <w:rPr>
          <w:rFonts w:eastAsia="Georgia"/>
          <w:lang w:val="en-US"/>
        </w:rPr>
        <w:t xml:space="preserve"> </w:t>
      </w:r>
      <w:r w:rsidRPr="007725E8">
        <w:rPr>
          <w:rFonts w:eastAsia="Georgia"/>
          <w:lang w:val="en-US"/>
        </w:rPr>
        <w:t>Critical discourse analysis and social cognition: Evidence from business</w:t>
      </w:r>
      <w:r w:rsidR="00265671">
        <w:rPr>
          <w:rFonts w:eastAsia="Georgia"/>
          <w:lang w:val="en-US"/>
        </w:rPr>
        <w:t xml:space="preserve"> </w:t>
      </w:r>
      <w:r w:rsidRPr="007725E8">
        <w:rPr>
          <w:rFonts w:eastAsia="Georgia"/>
          <w:lang w:val="en-US"/>
        </w:rPr>
        <w:t xml:space="preserve">media discourse. </w:t>
      </w:r>
      <w:r w:rsidRPr="007725E8">
        <w:rPr>
          <w:rFonts w:eastAsia="Georgia"/>
          <w:i/>
          <w:iCs/>
          <w:lang w:val="en-US"/>
        </w:rPr>
        <w:t>Discourse &amp; Society</w:t>
      </w:r>
      <w:r w:rsidRPr="007725E8">
        <w:rPr>
          <w:rFonts w:eastAsia="Georgia"/>
          <w:lang w:val="en-US"/>
        </w:rPr>
        <w:t xml:space="preserve"> 16(2): 199–224.</w:t>
      </w:r>
    </w:p>
    <w:p w14:paraId="38F0F2E0" w14:textId="77777777" w:rsidR="00C34D92" w:rsidRPr="005D2BAF" w:rsidRDefault="00861662" w:rsidP="00F2601A">
      <w:pPr>
        <w:pStyle w:val="Bezodstpw"/>
        <w:jc w:val="both"/>
        <w:rPr>
          <w:lang w:val="en-US"/>
        </w:rPr>
      </w:pPr>
      <w:r w:rsidRPr="007725E8">
        <w:rPr>
          <w:rFonts w:eastAsia="Georgia"/>
          <w:lang w:val="en-US"/>
        </w:rPr>
        <w:t xml:space="preserve">Koller, V. (2011). </w:t>
      </w:r>
      <w:proofErr w:type="spellStart"/>
      <w:r w:rsidRPr="007725E8">
        <w:rPr>
          <w:rFonts w:eastAsia="Georgia"/>
          <w:lang w:val="en-US"/>
        </w:rPr>
        <w:t>Analysing</w:t>
      </w:r>
      <w:proofErr w:type="spellEnd"/>
      <w:r w:rsidRPr="007725E8">
        <w:rPr>
          <w:rFonts w:eastAsia="Georgia"/>
          <w:lang w:val="en-US"/>
        </w:rPr>
        <w:t xml:space="preserve"> lesbian identity in discourse: Combining discourse-historical and socio-cognitive approaches. W: C. Hart (red.), </w:t>
      </w:r>
      <w:r w:rsidRPr="007725E8">
        <w:rPr>
          <w:rFonts w:eastAsia="Georgia"/>
          <w:i/>
          <w:iCs/>
          <w:lang w:val="en-US"/>
        </w:rPr>
        <w:t>Critical Discourse Studies in Context and Cognition</w:t>
      </w:r>
      <w:r w:rsidRPr="007725E8">
        <w:rPr>
          <w:rFonts w:eastAsia="Georgia"/>
          <w:lang w:val="en-US"/>
        </w:rPr>
        <w:t>.. Amsterdam: Benjamins. s. 97–141.</w:t>
      </w:r>
    </w:p>
    <w:p w14:paraId="4240DDAD" w14:textId="27AC9E1A" w:rsidR="00C34D92" w:rsidRPr="005D2BAF" w:rsidRDefault="00861662" w:rsidP="00F2601A">
      <w:pPr>
        <w:pStyle w:val="Bezodstpw"/>
        <w:jc w:val="both"/>
        <w:rPr>
          <w:lang w:val="en-US"/>
        </w:rPr>
      </w:pPr>
      <w:r w:rsidRPr="007725E8">
        <w:rPr>
          <w:rFonts w:eastAsia="Georgia"/>
          <w:lang w:val="en-US"/>
        </w:rPr>
        <w:t xml:space="preserve">Kress, G. </w:t>
      </w:r>
      <w:proofErr w:type="spellStart"/>
      <w:r w:rsidRPr="007725E8">
        <w:rPr>
          <w:rFonts w:eastAsia="Georgia"/>
          <w:lang w:val="en-US"/>
        </w:rPr>
        <w:t>i</w:t>
      </w:r>
      <w:proofErr w:type="spellEnd"/>
      <w:r w:rsidRPr="007725E8">
        <w:rPr>
          <w:rFonts w:eastAsia="Georgia"/>
          <w:lang w:val="en-US"/>
        </w:rPr>
        <w:t xml:space="preserve"> T. van Leeuwen (2002).</w:t>
      </w:r>
      <w:r w:rsidR="0018221E">
        <w:rPr>
          <w:rFonts w:eastAsia="Georgia"/>
          <w:lang w:val="en-US"/>
        </w:rPr>
        <w:t xml:space="preserve"> </w:t>
      </w:r>
      <w:proofErr w:type="spellStart"/>
      <w:r w:rsidRPr="007725E8">
        <w:rPr>
          <w:rFonts w:eastAsia="Georgia"/>
          <w:lang w:val="en-US"/>
        </w:rPr>
        <w:t>Colour</w:t>
      </w:r>
      <w:proofErr w:type="spellEnd"/>
      <w:r w:rsidRPr="007725E8">
        <w:rPr>
          <w:rFonts w:eastAsia="Georgia"/>
          <w:lang w:val="en-US"/>
        </w:rPr>
        <w:t xml:space="preserve"> as a semiotic order: Notes for a grammar of</w:t>
      </w:r>
      <w:r w:rsidR="00265671">
        <w:rPr>
          <w:rFonts w:eastAsia="Georgia"/>
          <w:lang w:val="en-US"/>
        </w:rPr>
        <w:t xml:space="preserve"> </w:t>
      </w:r>
      <w:proofErr w:type="spellStart"/>
      <w:r w:rsidRPr="007725E8">
        <w:rPr>
          <w:rFonts w:eastAsia="Georgia"/>
          <w:lang w:val="en-US"/>
        </w:rPr>
        <w:t>colour</w:t>
      </w:r>
      <w:proofErr w:type="spellEnd"/>
      <w:r w:rsidRPr="007725E8">
        <w:rPr>
          <w:rFonts w:eastAsia="Georgia"/>
          <w:lang w:val="en-US"/>
        </w:rPr>
        <w:t xml:space="preserve">. </w:t>
      </w:r>
      <w:r w:rsidRPr="007725E8">
        <w:rPr>
          <w:rFonts w:eastAsia="Georgia"/>
          <w:i/>
          <w:iCs/>
          <w:lang w:val="en-US"/>
        </w:rPr>
        <w:t>Visual Communication</w:t>
      </w:r>
      <w:r w:rsidRPr="007725E8">
        <w:rPr>
          <w:rFonts w:eastAsia="Georgia"/>
          <w:lang w:val="en-US"/>
        </w:rPr>
        <w:t xml:space="preserve"> 1(3): 343–68.</w:t>
      </w:r>
    </w:p>
    <w:p w14:paraId="100D23EC" w14:textId="299BF0AE" w:rsidR="00C34D92" w:rsidRPr="005D2BAF" w:rsidRDefault="00861662" w:rsidP="00F2601A">
      <w:pPr>
        <w:pStyle w:val="Bezodstpw"/>
        <w:jc w:val="both"/>
        <w:rPr>
          <w:lang w:val="en-US"/>
        </w:rPr>
      </w:pPr>
      <w:r w:rsidRPr="007725E8">
        <w:rPr>
          <w:rFonts w:eastAsia="Georgia"/>
          <w:lang w:val="en-US"/>
        </w:rPr>
        <w:t xml:space="preserve">Kress, G. </w:t>
      </w:r>
      <w:proofErr w:type="spellStart"/>
      <w:r w:rsidRPr="007725E8">
        <w:rPr>
          <w:rFonts w:eastAsia="Georgia"/>
          <w:lang w:val="en-US"/>
        </w:rPr>
        <w:t>i</w:t>
      </w:r>
      <w:proofErr w:type="spellEnd"/>
      <w:r w:rsidRPr="007725E8">
        <w:rPr>
          <w:rFonts w:eastAsia="Georgia"/>
          <w:lang w:val="en-US"/>
        </w:rPr>
        <w:t xml:space="preserve"> T. van Leeuwen (2006). </w:t>
      </w:r>
      <w:r w:rsidRPr="007725E8">
        <w:rPr>
          <w:rFonts w:eastAsia="Georgia"/>
          <w:i/>
          <w:iCs/>
          <w:lang w:val="en-US"/>
        </w:rPr>
        <w:t>Reading Images: The Grammar of Visual Design</w:t>
      </w:r>
      <w:r w:rsidRPr="007725E8">
        <w:rPr>
          <w:rFonts w:eastAsia="Georgia"/>
          <w:lang w:val="en-US"/>
        </w:rPr>
        <w:t>. Wyd.</w:t>
      </w:r>
      <w:r w:rsidR="00265671">
        <w:rPr>
          <w:rFonts w:eastAsia="Georgia"/>
          <w:lang w:val="en-US"/>
        </w:rPr>
        <w:t xml:space="preserve"> </w:t>
      </w:r>
      <w:r w:rsidRPr="007725E8">
        <w:rPr>
          <w:rFonts w:eastAsia="Georgia"/>
          <w:lang w:val="en-US"/>
        </w:rPr>
        <w:t>2. London: Routledge.</w:t>
      </w:r>
    </w:p>
    <w:p w14:paraId="1C346FD5" w14:textId="5E6D152E" w:rsidR="00C34D92" w:rsidRPr="007725E8" w:rsidRDefault="00861662" w:rsidP="00F2601A">
      <w:pPr>
        <w:pStyle w:val="Bezodstpw"/>
        <w:jc w:val="both"/>
        <w:rPr>
          <w:lang w:val="en-US"/>
        </w:rPr>
      </w:pPr>
      <w:proofErr w:type="spellStart"/>
      <w:r w:rsidRPr="007725E8">
        <w:rPr>
          <w:rFonts w:eastAsia="Georgia"/>
          <w:lang w:val="en-US"/>
        </w:rPr>
        <w:t>Kunda</w:t>
      </w:r>
      <w:proofErr w:type="spellEnd"/>
      <w:r w:rsidRPr="007725E8">
        <w:rPr>
          <w:rFonts w:eastAsia="Georgia"/>
          <w:lang w:val="en-US"/>
        </w:rPr>
        <w:t xml:space="preserve">, Z. (1999). </w:t>
      </w:r>
      <w:r w:rsidRPr="007725E8">
        <w:rPr>
          <w:rFonts w:eastAsia="Georgia"/>
          <w:i/>
          <w:iCs/>
          <w:lang w:val="en-US"/>
        </w:rPr>
        <w:t>Social Cognition: Making Sense of People</w:t>
      </w:r>
      <w:r w:rsidRPr="007725E8">
        <w:rPr>
          <w:rFonts w:eastAsia="Georgia"/>
          <w:lang w:val="en-US"/>
        </w:rPr>
        <w:t>. Cambridge, MA: MIT Press.</w:t>
      </w:r>
    </w:p>
    <w:p w14:paraId="22B2F78D" w14:textId="10E5695D" w:rsidR="00C34D92" w:rsidRPr="005D2BAF" w:rsidRDefault="00861662" w:rsidP="00F2601A">
      <w:pPr>
        <w:pStyle w:val="Bezodstpw"/>
        <w:jc w:val="both"/>
        <w:rPr>
          <w:lang w:val="en-US"/>
        </w:rPr>
      </w:pPr>
      <w:r w:rsidRPr="007725E8">
        <w:rPr>
          <w:rFonts w:eastAsia="Georgia"/>
          <w:lang w:val="en-US"/>
        </w:rPr>
        <w:t xml:space="preserve">Lakoff, G. (1999). </w:t>
      </w:r>
      <w:r w:rsidR="0018221E">
        <w:rPr>
          <w:rFonts w:eastAsia="Georgia"/>
          <w:lang w:val="en-US"/>
        </w:rPr>
        <w:t>„</w:t>
      </w:r>
      <w:r w:rsidRPr="007725E8">
        <w:rPr>
          <w:rFonts w:eastAsia="Georgia"/>
          <w:lang w:val="en-US"/>
        </w:rPr>
        <w:t>Cognitive models and prototype theory</w:t>
      </w:r>
      <w:r w:rsidR="0018221E">
        <w:rPr>
          <w:rFonts w:eastAsia="Georgia"/>
          <w:lang w:val="en-US"/>
        </w:rPr>
        <w:t>”,</w:t>
      </w:r>
      <w:r w:rsidRPr="007725E8">
        <w:rPr>
          <w:rFonts w:eastAsia="Georgia"/>
          <w:lang w:val="en-US"/>
        </w:rPr>
        <w:t xml:space="preserve"> w</w:t>
      </w:r>
      <w:r w:rsidR="0018221E">
        <w:rPr>
          <w:rFonts w:eastAsia="Georgia"/>
          <w:lang w:val="en-US"/>
        </w:rPr>
        <w:t>:</w:t>
      </w:r>
      <w:r w:rsidRPr="007725E8">
        <w:rPr>
          <w:rFonts w:eastAsia="Georgia"/>
          <w:lang w:val="en-US"/>
        </w:rPr>
        <w:t xml:space="preserve"> E. Margolis </w:t>
      </w:r>
      <w:proofErr w:type="spellStart"/>
      <w:r w:rsidRPr="007725E8">
        <w:rPr>
          <w:rFonts w:eastAsia="Georgia"/>
          <w:lang w:val="en-US"/>
        </w:rPr>
        <w:t>i</w:t>
      </w:r>
      <w:proofErr w:type="spellEnd"/>
      <w:r w:rsidRPr="007725E8">
        <w:rPr>
          <w:rFonts w:eastAsia="Georgia"/>
          <w:lang w:val="en-US"/>
        </w:rPr>
        <w:t xml:space="preserve"> S. Laurence (eds.), </w:t>
      </w:r>
      <w:r w:rsidRPr="007725E8">
        <w:rPr>
          <w:rFonts w:eastAsia="Georgia"/>
          <w:i/>
          <w:iCs/>
          <w:lang w:val="en-US"/>
        </w:rPr>
        <w:t>Concepts: Core Readings</w:t>
      </w:r>
      <w:r w:rsidRPr="007725E8">
        <w:rPr>
          <w:rFonts w:eastAsia="Georgia"/>
          <w:lang w:val="en-US"/>
        </w:rPr>
        <w:t>. Cambridge, MA: MIT Press.</w:t>
      </w:r>
    </w:p>
    <w:p w14:paraId="272F9084" w14:textId="336FDC23" w:rsidR="00C34D92" w:rsidRPr="005D2BAF" w:rsidRDefault="00861662" w:rsidP="00F2601A">
      <w:pPr>
        <w:pStyle w:val="Bezodstpw"/>
        <w:jc w:val="both"/>
        <w:rPr>
          <w:lang w:val="en-US"/>
        </w:rPr>
      </w:pPr>
      <w:r w:rsidRPr="007725E8">
        <w:rPr>
          <w:rFonts w:eastAsia="Georgia"/>
          <w:lang w:val="en-US"/>
        </w:rPr>
        <w:t xml:space="preserve">Lazar, M. (2006). </w:t>
      </w:r>
      <w:r w:rsidR="0018221E">
        <w:rPr>
          <w:rFonts w:eastAsia="Georgia"/>
          <w:lang w:val="en-US"/>
        </w:rPr>
        <w:t>„</w:t>
      </w:r>
      <w:r w:rsidRPr="007725E8">
        <w:rPr>
          <w:rFonts w:eastAsia="Georgia"/>
          <w:lang w:val="en-US"/>
        </w:rPr>
        <w:t xml:space="preserve">Discover the power of femininity! </w:t>
      </w:r>
      <w:proofErr w:type="spellStart"/>
      <w:r w:rsidRPr="007725E8">
        <w:rPr>
          <w:rFonts w:eastAsia="Georgia"/>
          <w:lang w:val="en-US"/>
        </w:rPr>
        <w:t>Analysing</w:t>
      </w:r>
      <w:proofErr w:type="spellEnd"/>
      <w:r w:rsidRPr="007725E8">
        <w:rPr>
          <w:rFonts w:eastAsia="Georgia"/>
          <w:lang w:val="en-US"/>
        </w:rPr>
        <w:t xml:space="preserve"> global ‘power femininity’ in local advertising</w:t>
      </w:r>
      <w:r w:rsidR="0018221E">
        <w:rPr>
          <w:rFonts w:eastAsia="Georgia"/>
          <w:lang w:val="en-US"/>
        </w:rPr>
        <w:t>”</w:t>
      </w:r>
      <w:r w:rsidRPr="007725E8">
        <w:rPr>
          <w:rFonts w:eastAsia="Georgia"/>
          <w:lang w:val="en-US"/>
        </w:rPr>
        <w:t xml:space="preserve">. </w:t>
      </w:r>
      <w:r w:rsidRPr="007725E8">
        <w:rPr>
          <w:rFonts w:eastAsia="Georgia"/>
          <w:i/>
          <w:iCs/>
          <w:lang w:val="en-US"/>
        </w:rPr>
        <w:t>Feminist Media Studies</w:t>
      </w:r>
      <w:r w:rsidRPr="007725E8">
        <w:rPr>
          <w:rFonts w:eastAsia="Georgia"/>
          <w:lang w:val="en-US"/>
        </w:rPr>
        <w:t xml:space="preserve"> 6(4): 505–17.</w:t>
      </w:r>
    </w:p>
    <w:p w14:paraId="28BEA25F" w14:textId="1269011A" w:rsidR="00C34D92" w:rsidRPr="005D2BAF" w:rsidRDefault="00861662" w:rsidP="00F2601A">
      <w:pPr>
        <w:pStyle w:val="Bezodstpw"/>
        <w:jc w:val="both"/>
        <w:rPr>
          <w:lang w:val="en-US"/>
        </w:rPr>
      </w:pPr>
      <w:r w:rsidRPr="007725E8">
        <w:rPr>
          <w:rFonts w:eastAsia="Georgia"/>
          <w:lang w:val="en-US"/>
        </w:rPr>
        <w:t xml:space="preserve">Martin, J. </w:t>
      </w:r>
      <w:proofErr w:type="spellStart"/>
      <w:r w:rsidRPr="007725E8">
        <w:rPr>
          <w:rFonts w:eastAsia="Georgia"/>
          <w:lang w:val="en-US"/>
        </w:rPr>
        <w:t>i</w:t>
      </w:r>
      <w:proofErr w:type="spellEnd"/>
      <w:r w:rsidRPr="007725E8">
        <w:rPr>
          <w:rFonts w:eastAsia="Georgia"/>
          <w:lang w:val="en-US"/>
        </w:rPr>
        <w:t xml:space="preserve"> P. White (2007).</w:t>
      </w:r>
      <w:r w:rsidR="004B00C9">
        <w:rPr>
          <w:rFonts w:eastAsia="Georgia"/>
          <w:lang w:val="en-US"/>
        </w:rPr>
        <w:t xml:space="preserve"> </w:t>
      </w:r>
      <w:r w:rsidRPr="007725E8">
        <w:rPr>
          <w:rFonts w:eastAsia="Georgia"/>
          <w:i/>
          <w:iCs/>
          <w:lang w:val="en-US"/>
        </w:rPr>
        <w:t>The</w:t>
      </w:r>
      <w:r w:rsidR="004B00C9">
        <w:rPr>
          <w:rFonts w:eastAsia="Georgia"/>
          <w:i/>
          <w:iCs/>
          <w:lang w:val="en-US"/>
        </w:rPr>
        <w:t xml:space="preserve"> </w:t>
      </w:r>
      <w:r w:rsidRPr="007725E8">
        <w:rPr>
          <w:rFonts w:eastAsia="Georgia"/>
          <w:i/>
          <w:iCs/>
          <w:lang w:val="en-US"/>
        </w:rPr>
        <w:t>Language</w:t>
      </w:r>
      <w:r w:rsidR="004B00C9">
        <w:rPr>
          <w:rFonts w:eastAsia="Georgia"/>
          <w:i/>
          <w:iCs/>
          <w:lang w:val="en-US"/>
        </w:rPr>
        <w:t xml:space="preserve"> </w:t>
      </w:r>
      <w:r w:rsidRPr="007725E8">
        <w:rPr>
          <w:rFonts w:eastAsia="Georgia"/>
          <w:i/>
          <w:iCs/>
          <w:lang w:val="en-US"/>
        </w:rPr>
        <w:t>of</w:t>
      </w:r>
      <w:r w:rsidR="004B00C9">
        <w:rPr>
          <w:rFonts w:eastAsia="Georgia"/>
          <w:i/>
          <w:iCs/>
          <w:lang w:val="en-US"/>
        </w:rPr>
        <w:t xml:space="preserve"> </w:t>
      </w:r>
      <w:r w:rsidRPr="007725E8">
        <w:rPr>
          <w:rFonts w:eastAsia="Georgia"/>
          <w:i/>
          <w:iCs/>
          <w:lang w:val="en-US"/>
        </w:rPr>
        <w:t>Evaluation:</w:t>
      </w:r>
      <w:r w:rsidR="004B00C9">
        <w:rPr>
          <w:rFonts w:eastAsia="Georgia"/>
          <w:i/>
          <w:iCs/>
          <w:lang w:val="en-US"/>
        </w:rPr>
        <w:t xml:space="preserve"> </w:t>
      </w:r>
      <w:r w:rsidRPr="007725E8">
        <w:rPr>
          <w:rFonts w:eastAsia="Georgia"/>
          <w:i/>
          <w:iCs/>
          <w:lang w:val="en-US"/>
        </w:rPr>
        <w:t>Appraisal</w:t>
      </w:r>
      <w:r w:rsidR="004B00C9">
        <w:rPr>
          <w:rFonts w:eastAsia="Georgia"/>
          <w:i/>
          <w:iCs/>
          <w:lang w:val="en-US"/>
        </w:rPr>
        <w:t xml:space="preserve"> </w:t>
      </w:r>
      <w:r w:rsidRPr="007725E8">
        <w:rPr>
          <w:rFonts w:eastAsia="Georgia"/>
          <w:i/>
          <w:iCs/>
          <w:lang w:val="en-US"/>
        </w:rPr>
        <w:t>in</w:t>
      </w:r>
      <w:r w:rsidR="004B00C9">
        <w:rPr>
          <w:rFonts w:eastAsia="Georgia"/>
          <w:i/>
          <w:iCs/>
          <w:lang w:val="en-US"/>
        </w:rPr>
        <w:t xml:space="preserve"> </w:t>
      </w:r>
      <w:r w:rsidRPr="007725E8">
        <w:rPr>
          <w:rFonts w:eastAsia="Georgia"/>
          <w:i/>
          <w:iCs/>
          <w:lang w:val="en-US"/>
        </w:rPr>
        <w:t>English</w:t>
      </w:r>
      <w:r w:rsidRPr="007725E8">
        <w:rPr>
          <w:rFonts w:eastAsia="Georgia"/>
          <w:lang w:val="en-US"/>
        </w:rPr>
        <w:t>.</w:t>
      </w:r>
      <w:r w:rsidR="00265671">
        <w:rPr>
          <w:rFonts w:eastAsia="Georgia"/>
          <w:lang w:val="en-US"/>
        </w:rPr>
        <w:t xml:space="preserve"> </w:t>
      </w:r>
      <w:r w:rsidRPr="007725E8">
        <w:rPr>
          <w:rFonts w:eastAsia="Georgia"/>
          <w:lang w:val="en-US"/>
        </w:rPr>
        <w:t>Basingstoke: Palgrave.</w:t>
      </w:r>
    </w:p>
    <w:p w14:paraId="125CDFCB" w14:textId="36C092EB" w:rsidR="00C34D92" w:rsidRPr="005D2BAF" w:rsidRDefault="00861662" w:rsidP="00F2601A">
      <w:pPr>
        <w:pStyle w:val="Bezodstpw"/>
        <w:jc w:val="both"/>
        <w:rPr>
          <w:lang w:val="en-US"/>
        </w:rPr>
      </w:pPr>
      <w:r w:rsidRPr="007725E8">
        <w:rPr>
          <w:rFonts w:eastAsia="Georgia"/>
          <w:lang w:val="en-US"/>
        </w:rPr>
        <w:t>Moscovici,</w:t>
      </w:r>
      <w:r w:rsidR="00265671">
        <w:rPr>
          <w:rFonts w:eastAsia="Georgia"/>
          <w:lang w:val="en-US"/>
        </w:rPr>
        <w:t xml:space="preserve"> S</w:t>
      </w:r>
      <w:r w:rsidRPr="007725E8">
        <w:rPr>
          <w:rFonts w:eastAsia="Georgia"/>
          <w:lang w:val="en-US"/>
        </w:rPr>
        <w:t>.</w:t>
      </w:r>
      <w:r w:rsidR="00265671">
        <w:rPr>
          <w:rFonts w:eastAsia="Georgia"/>
          <w:lang w:val="en-US"/>
        </w:rPr>
        <w:t xml:space="preserve"> </w:t>
      </w:r>
      <w:r w:rsidRPr="007725E8">
        <w:rPr>
          <w:rFonts w:eastAsia="Georgia"/>
          <w:lang w:val="en-US"/>
        </w:rPr>
        <w:t>(2000).</w:t>
      </w:r>
      <w:r w:rsidR="00265671">
        <w:rPr>
          <w:rFonts w:eastAsia="Georgia"/>
          <w:i/>
          <w:iCs/>
          <w:lang w:val="en-US"/>
        </w:rPr>
        <w:t xml:space="preserve"> </w:t>
      </w:r>
      <w:r w:rsidRPr="007725E8">
        <w:rPr>
          <w:rFonts w:eastAsia="Georgia"/>
          <w:i/>
          <w:iCs/>
          <w:lang w:val="en-US"/>
        </w:rPr>
        <w:t>Social</w:t>
      </w:r>
      <w:r w:rsidR="00265671">
        <w:rPr>
          <w:rFonts w:eastAsia="Georgia"/>
          <w:i/>
          <w:iCs/>
          <w:lang w:val="en-US"/>
        </w:rPr>
        <w:t xml:space="preserve"> </w:t>
      </w:r>
      <w:r w:rsidRPr="007725E8">
        <w:rPr>
          <w:rFonts w:eastAsia="Georgia"/>
          <w:i/>
          <w:iCs/>
          <w:lang w:val="en-US"/>
        </w:rPr>
        <w:t>Representations:</w:t>
      </w:r>
      <w:r w:rsidR="00265671">
        <w:rPr>
          <w:rFonts w:eastAsia="Georgia"/>
          <w:i/>
          <w:iCs/>
          <w:lang w:val="en-US"/>
        </w:rPr>
        <w:t xml:space="preserve"> </w:t>
      </w:r>
      <w:r w:rsidRPr="007725E8">
        <w:rPr>
          <w:rFonts w:eastAsia="Georgia"/>
          <w:i/>
          <w:iCs/>
          <w:lang w:val="en-US"/>
        </w:rPr>
        <w:t>Explorations</w:t>
      </w:r>
      <w:r w:rsidR="00265671">
        <w:rPr>
          <w:rFonts w:eastAsia="Georgia"/>
          <w:i/>
          <w:iCs/>
          <w:lang w:val="en-US"/>
        </w:rPr>
        <w:t xml:space="preserve"> </w:t>
      </w:r>
      <w:r w:rsidRPr="007725E8">
        <w:rPr>
          <w:rFonts w:eastAsia="Georgia"/>
          <w:i/>
          <w:iCs/>
          <w:lang w:val="en-US"/>
        </w:rPr>
        <w:t>in</w:t>
      </w:r>
      <w:r w:rsidR="00265671">
        <w:rPr>
          <w:rFonts w:eastAsia="Georgia"/>
          <w:i/>
          <w:iCs/>
          <w:lang w:val="en-US"/>
        </w:rPr>
        <w:t xml:space="preserve"> </w:t>
      </w:r>
      <w:r w:rsidRPr="007725E8">
        <w:rPr>
          <w:rFonts w:eastAsia="Georgia"/>
          <w:i/>
          <w:iCs/>
          <w:lang w:val="en-US"/>
        </w:rPr>
        <w:t>Social</w:t>
      </w:r>
      <w:r w:rsidR="00265671">
        <w:rPr>
          <w:rFonts w:eastAsia="Georgia"/>
          <w:i/>
          <w:iCs/>
          <w:lang w:val="en-US"/>
        </w:rPr>
        <w:t xml:space="preserve"> </w:t>
      </w:r>
      <w:r w:rsidRPr="007725E8">
        <w:rPr>
          <w:rFonts w:eastAsia="Georgia"/>
          <w:i/>
          <w:iCs/>
          <w:lang w:val="en-US"/>
        </w:rPr>
        <w:t>Psychology</w:t>
      </w:r>
      <w:r w:rsidRPr="007725E8">
        <w:rPr>
          <w:rFonts w:eastAsia="Georgia"/>
          <w:lang w:val="en-US"/>
        </w:rPr>
        <w:t>.</w:t>
      </w:r>
    </w:p>
    <w:p w14:paraId="3DE1CB21" w14:textId="77777777" w:rsidR="00C34D92" w:rsidRPr="005D2BAF" w:rsidRDefault="00861662" w:rsidP="00F2601A">
      <w:pPr>
        <w:pStyle w:val="Bezodstpw"/>
        <w:jc w:val="both"/>
        <w:rPr>
          <w:lang w:val="en-US"/>
        </w:rPr>
      </w:pPr>
      <w:r w:rsidRPr="007725E8">
        <w:rPr>
          <w:rFonts w:eastAsia="Georgia"/>
          <w:lang w:val="en-US"/>
        </w:rPr>
        <w:t>Cambridge: Polity Press.</w:t>
      </w:r>
    </w:p>
    <w:p w14:paraId="50DEB05A" w14:textId="77777777" w:rsidR="00C34D92" w:rsidRPr="005D2BAF" w:rsidRDefault="00861662" w:rsidP="00F2601A">
      <w:pPr>
        <w:pStyle w:val="Bezodstpw"/>
        <w:jc w:val="both"/>
        <w:rPr>
          <w:lang w:val="en-US"/>
        </w:rPr>
      </w:pPr>
      <w:r w:rsidRPr="007725E8">
        <w:rPr>
          <w:rFonts w:eastAsia="Georgia"/>
          <w:lang w:val="en-US"/>
        </w:rPr>
        <w:t xml:space="preserve">Myers, G. (1994). </w:t>
      </w:r>
      <w:r w:rsidRPr="007725E8">
        <w:rPr>
          <w:rFonts w:eastAsia="Georgia"/>
          <w:i/>
          <w:iCs/>
          <w:lang w:val="en-US"/>
        </w:rPr>
        <w:t>Words in Ads</w:t>
      </w:r>
      <w:r w:rsidRPr="007725E8">
        <w:rPr>
          <w:rFonts w:eastAsia="Georgia"/>
          <w:lang w:val="en-US"/>
        </w:rPr>
        <w:t>. London: Edward Arnold.</w:t>
      </w:r>
    </w:p>
    <w:p w14:paraId="7F80FD3F" w14:textId="1BA38104" w:rsidR="00C34D92" w:rsidRPr="005D2BAF" w:rsidRDefault="00861662" w:rsidP="00F2601A">
      <w:pPr>
        <w:pStyle w:val="Bezodstpw"/>
        <w:jc w:val="both"/>
        <w:rPr>
          <w:lang w:val="en-US"/>
        </w:rPr>
      </w:pPr>
      <w:r w:rsidRPr="007725E8">
        <w:rPr>
          <w:rFonts w:eastAsia="Georgia"/>
          <w:lang w:val="en-US"/>
        </w:rPr>
        <w:t>O’Halloran, K. (2003).</w:t>
      </w:r>
      <w:r w:rsidR="0018221E">
        <w:rPr>
          <w:rFonts w:eastAsia="Georgia"/>
          <w:lang w:val="en-US"/>
        </w:rPr>
        <w:t xml:space="preserve"> </w:t>
      </w:r>
      <w:r w:rsidRPr="008C537D">
        <w:rPr>
          <w:rFonts w:eastAsia="Georgia"/>
          <w:i/>
          <w:iCs/>
          <w:lang w:val="en-US"/>
        </w:rPr>
        <w:t>Critical Discourse Analysis and Language Cognition</w:t>
      </w:r>
      <w:r w:rsidRPr="007725E8">
        <w:rPr>
          <w:rFonts w:eastAsia="Georgia"/>
          <w:lang w:val="en-US"/>
        </w:rPr>
        <w:t>.</w:t>
      </w:r>
      <w:r w:rsidR="00265671">
        <w:rPr>
          <w:rFonts w:eastAsia="Georgia"/>
          <w:lang w:val="en-US"/>
        </w:rPr>
        <w:t xml:space="preserve"> </w:t>
      </w:r>
      <w:r w:rsidRPr="007725E8">
        <w:rPr>
          <w:rFonts w:eastAsia="Georgia"/>
          <w:lang w:val="en-US"/>
        </w:rPr>
        <w:t>Edinburgh:</w:t>
      </w:r>
      <w:r w:rsidR="00265671">
        <w:rPr>
          <w:rFonts w:eastAsia="Georgia"/>
          <w:lang w:val="en-US"/>
        </w:rPr>
        <w:t xml:space="preserve"> </w:t>
      </w:r>
      <w:r w:rsidRPr="007725E8">
        <w:rPr>
          <w:rFonts w:eastAsia="Georgia"/>
          <w:lang w:val="en-US"/>
        </w:rPr>
        <w:t>Edinburgh University Press</w:t>
      </w:r>
    </w:p>
    <w:p w14:paraId="60A57AC2" w14:textId="7FC43720" w:rsidR="00C34D92" w:rsidRPr="005D2BAF" w:rsidRDefault="00861662" w:rsidP="00F2601A">
      <w:pPr>
        <w:pStyle w:val="Bezodstpw"/>
        <w:jc w:val="both"/>
        <w:rPr>
          <w:lang w:val="en-US"/>
        </w:rPr>
      </w:pPr>
      <w:r w:rsidRPr="007725E8">
        <w:rPr>
          <w:rFonts w:eastAsia="Georgia"/>
          <w:lang w:val="en-US"/>
        </w:rPr>
        <w:t xml:space="preserve">Philip, G. (2010). </w:t>
      </w:r>
      <w:r w:rsidR="0018221E">
        <w:rPr>
          <w:rFonts w:eastAsia="Georgia"/>
          <w:lang w:val="en-US"/>
        </w:rPr>
        <w:t>„</w:t>
      </w:r>
      <w:r w:rsidRPr="007725E8">
        <w:rPr>
          <w:rFonts w:eastAsia="Georgia"/>
          <w:lang w:val="en-US"/>
        </w:rPr>
        <w:t>Drugs, traffic, and many other dirty interests: Metaphor and the language learner</w:t>
      </w:r>
      <w:r w:rsidR="0018221E">
        <w:rPr>
          <w:rFonts w:eastAsia="Georgia"/>
          <w:lang w:val="en-US"/>
        </w:rPr>
        <w:t>”,</w:t>
      </w:r>
      <w:r w:rsidRPr="007725E8">
        <w:rPr>
          <w:rFonts w:eastAsia="Georgia"/>
          <w:lang w:val="en-US"/>
        </w:rPr>
        <w:t xml:space="preserve"> w</w:t>
      </w:r>
      <w:r w:rsidR="0018221E">
        <w:rPr>
          <w:rFonts w:eastAsia="Georgia"/>
          <w:lang w:val="en-US"/>
        </w:rPr>
        <w:t>:</w:t>
      </w:r>
      <w:r w:rsidRPr="007725E8">
        <w:rPr>
          <w:rFonts w:eastAsia="Georgia"/>
          <w:lang w:val="en-US"/>
        </w:rPr>
        <w:t xml:space="preserve"> G. Low, Z. Todd, A. </w:t>
      </w:r>
      <w:proofErr w:type="spellStart"/>
      <w:r w:rsidRPr="007725E8">
        <w:rPr>
          <w:rFonts w:eastAsia="Georgia"/>
          <w:lang w:val="en-US"/>
        </w:rPr>
        <w:t>Deignan</w:t>
      </w:r>
      <w:proofErr w:type="spellEnd"/>
      <w:r w:rsidRPr="007725E8">
        <w:rPr>
          <w:rFonts w:eastAsia="Georgia"/>
          <w:lang w:val="en-US"/>
        </w:rPr>
        <w:t xml:space="preserve"> </w:t>
      </w:r>
      <w:proofErr w:type="spellStart"/>
      <w:r w:rsidRPr="007725E8">
        <w:rPr>
          <w:rFonts w:eastAsia="Georgia"/>
          <w:lang w:val="en-US"/>
        </w:rPr>
        <w:t>i</w:t>
      </w:r>
      <w:proofErr w:type="spellEnd"/>
      <w:r w:rsidRPr="007725E8">
        <w:rPr>
          <w:rFonts w:eastAsia="Georgia"/>
          <w:lang w:val="en-US"/>
        </w:rPr>
        <w:t xml:space="preserve"> L. Cameron (eds.), </w:t>
      </w:r>
      <w:r w:rsidRPr="007725E8">
        <w:rPr>
          <w:rFonts w:eastAsia="Georgia"/>
          <w:i/>
          <w:iCs/>
          <w:lang w:val="en-US"/>
        </w:rPr>
        <w:t>Researching and Applying Metaphor in the Real World</w:t>
      </w:r>
      <w:r w:rsidRPr="007725E8">
        <w:rPr>
          <w:rFonts w:eastAsia="Georgia"/>
          <w:lang w:val="en-US"/>
        </w:rPr>
        <w:t>. Amsterdam: Benjamins. s. 63</w:t>
      </w:r>
      <w:r w:rsidR="00B10815">
        <w:rPr>
          <w:rFonts w:eastAsia="Georgia"/>
          <w:lang w:val="en-US"/>
        </w:rPr>
        <w:t>–</w:t>
      </w:r>
      <w:r w:rsidRPr="007725E8">
        <w:rPr>
          <w:rFonts w:eastAsia="Georgia"/>
          <w:lang w:val="en-US"/>
        </w:rPr>
        <w:t>80.</w:t>
      </w:r>
    </w:p>
    <w:p w14:paraId="459118A4" w14:textId="77777777" w:rsidR="00C34D92" w:rsidRPr="005D2BAF" w:rsidRDefault="00861662" w:rsidP="00F2601A">
      <w:pPr>
        <w:pStyle w:val="Bezodstpw"/>
        <w:jc w:val="both"/>
        <w:rPr>
          <w:lang w:val="en-US"/>
        </w:rPr>
      </w:pPr>
      <w:r w:rsidRPr="007725E8">
        <w:rPr>
          <w:rFonts w:eastAsia="Georgia"/>
          <w:lang w:val="en-US"/>
        </w:rPr>
        <w:t xml:space="preserve">Shaw, J. (2010). </w:t>
      </w:r>
      <w:r w:rsidRPr="007725E8">
        <w:rPr>
          <w:rFonts w:eastAsia="Georgia"/>
          <w:i/>
          <w:iCs/>
          <w:lang w:val="en-US"/>
        </w:rPr>
        <w:t>Shopping: Social and Cultural Perspectives.</w:t>
      </w:r>
      <w:r w:rsidRPr="007725E8">
        <w:rPr>
          <w:rFonts w:eastAsia="Georgia"/>
          <w:lang w:val="en-US"/>
        </w:rPr>
        <w:t xml:space="preserve"> Cambridge: Polity Press.</w:t>
      </w:r>
    </w:p>
    <w:p w14:paraId="2B39AF09" w14:textId="77777777" w:rsidR="00C34D92" w:rsidRPr="005D2BAF" w:rsidRDefault="00861662" w:rsidP="00F2601A">
      <w:pPr>
        <w:pStyle w:val="Bezodstpw"/>
        <w:jc w:val="both"/>
        <w:rPr>
          <w:lang w:val="en-US"/>
        </w:rPr>
      </w:pPr>
      <w:r w:rsidRPr="007725E8">
        <w:rPr>
          <w:rFonts w:eastAsia="Georgia"/>
          <w:lang w:val="en-US"/>
        </w:rPr>
        <w:t xml:space="preserve">Thompson, G. (2004). </w:t>
      </w:r>
      <w:r w:rsidRPr="007725E8">
        <w:rPr>
          <w:rFonts w:eastAsia="Georgia"/>
          <w:i/>
          <w:iCs/>
          <w:lang w:val="en-US"/>
        </w:rPr>
        <w:t>Introducing Functional Grammar</w:t>
      </w:r>
      <w:r w:rsidRPr="007725E8">
        <w:rPr>
          <w:rFonts w:eastAsia="Georgia"/>
          <w:lang w:val="en-US"/>
        </w:rPr>
        <w:t>. Wyd. 2. London: Arnold.</w:t>
      </w:r>
    </w:p>
    <w:p w14:paraId="21A51938" w14:textId="465CBA91" w:rsidR="00C34D92" w:rsidRPr="005D2BAF" w:rsidRDefault="00861662" w:rsidP="00F2601A">
      <w:pPr>
        <w:pStyle w:val="Bezodstpw"/>
        <w:jc w:val="both"/>
        <w:rPr>
          <w:lang w:val="en-US"/>
        </w:rPr>
      </w:pPr>
      <w:r w:rsidRPr="007725E8">
        <w:rPr>
          <w:rFonts w:eastAsia="Georgia"/>
          <w:lang w:val="en-US"/>
        </w:rPr>
        <w:t xml:space="preserve">van Dijk, T. (2003). The discourse-knowledge interface. w G. Weiss </w:t>
      </w:r>
      <w:proofErr w:type="spellStart"/>
      <w:r w:rsidRPr="007725E8">
        <w:rPr>
          <w:rFonts w:eastAsia="Georgia"/>
          <w:lang w:val="en-US"/>
        </w:rPr>
        <w:t>i</w:t>
      </w:r>
      <w:proofErr w:type="spellEnd"/>
      <w:r w:rsidRPr="007725E8">
        <w:rPr>
          <w:rFonts w:eastAsia="Georgia"/>
          <w:lang w:val="en-US"/>
        </w:rPr>
        <w:t xml:space="preserve"> R. </w:t>
      </w:r>
      <w:proofErr w:type="spellStart"/>
      <w:r w:rsidRPr="007725E8">
        <w:rPr>
          <w:rFonts w:eastAsia="Georgia"/>
          <w:lang w:val="en-US"/>
        </w:rPr>
        <w:t>Wodak</w:t>
      </w:r>
      <w:proofErr w:type="spellEnd"/>
      <w:r w:rsidRPr="007725E8">
        <w:rPr>
          <w:rFonts w:eastAsia="Georgia"/>
          <w:lang w:val="en-US"/>
        </w:rPr>
        <w:t xml:space="preserve"> (eds.), </w:t>
      </w:r>
      <w:r w:rsidRPr="007725E8">
        <w:rPr>
          <w:rFonts w:eastAsia="Georgia"/>
          <w:i/>
          <w:iCs/>
          <w:lang w:val="en-US"/>
        </w:rPr>
        <w:t>Critical Discourse Analysis: Theory and Interdisciplinarity</w:t>
      </w:r>
      <w:r w:rsidRPr="007725E8">
        <w:rPr>
          <w:rFonts w:eastAsia="Georgia"/>
          <w:lang w:val="en-US"/>
        </w:rPr>
        <w:t>. Basingstoke: Palgrave. s. 85</w:t>
      </w:r>
      <w:r w:rsidR="0018221E">
        <w:rPr>
          <w:rFonts w:eastAsia="Georgia"/>
          <w:lang w:val="en-US"/>
        </w:rPr>
        <w:t>–</w:t>
      </w:r>
      <w:r w:rsidRPr="007725E8">
        <w:rPr>
          <w:rFonts w:eastAsia="Georgia"/>
          <w:lang w:val="en-US"/>
        </w:rPr>
        <w:t>109.</w:t>
      </w:r>
    </w:p>
    <w:p w14:paraId="08F91E98" w14:textId="08A033D5" w:rsidR="00C34D92" w:rsidRPr="005D2BAF" w:rsidRDefault="00861662" w:rsidP="00F2601A">
      <w:pPr>
        <w:pStyle w:val="Bezodstpw"/>
        <w:jc w:val="both"/>
        <w:rPr>
          <w:lang w:val="en-US"/>
        </w:rPr>
      </w:pPr>
      <w:r w:rsidRPr="007725E8">
        <w:rPr>
          <w:rFonts w:eastAsia="Georgia"/>
          <w:lang w:val="en-US"/>
        </w:rPr>
        <w:lastRenderedPageBreak/>
        <w:t xml:space="preserve">van Dijk, T, (2004). Text and context of parliamentary debates. w P. Bayley (ed.), </w:t>
      </w:r>
      <w:r w:rsidRPr="007725E8">
        <w:rPr>
          <w:rFonts w:eastAsia="Georgia"/>
          <w:i/>
          <w:iCs/>
          <w:lang w:val="en-US"/>
        </w:rPr>
        <w:t>Cross-cultural Perspectives on Parliamentary Discourse</w:t>
      </w:r>
      <w:r w:rsidRPr="007725E8">
        <w:rPr>
          <w:rFonts w:eastAsia="Georgia"/>
          <w:lang w:val="en-US"/>
        </w:rPr>
        <w:t>. (Discourse Approaches to Politics, Society and Culture 10). Amsterdam: Benjamins. s. 339</w:t>
      </w:r>
      <w:r w:rsidR="0018221E">
        <w:rPr>
          <w:rFonts w:eastAsia="Georgia"/>
          <w:lang w:val="en-US"/>
        </w:rPr>
        <w:t>–3</w:t>
      </w:r>
      <w:r w:rsidRPr="007725E8">
        <w:rPr>
          <w:rFonts w:eastAsia="Georgia"/>
          <w:lang w:val="en-US"/>
        </w:rPr>
        <w:t>72.</w:t>
      </w:r>
    </w:p>
    <w:p w14:paraId="131F0743" w14:textId="4653D812" w:rsidR="00C34D92" w:rsidRPr="005D2BAF" w:rsidRDefault="00861662" w:rsidP="00F2601A">
      <w:pPr>
        <w:pStyle w:val="Bezodstpw"/>
        <w:jc w:val="both"/>
        <w:rPr>
          <w:lang w:val="en-US"/>
        </w:rPr>
      </w:pPr>
      <w:r w:rsidRPr="007725E8">
        <w:rPr>
          <w:rFonts w:eastAsia="Georgia"/>
          <w:lang w:val="en-US"/>
        </w:rPr>
        <w:t xml:space="preserve">van Dijk, T. (2009). Critical discourse studies: A </w:t>
      </w:r>
      <w:proofErr w:type="spellStart"/>
      <w:r w:rsidRPr="007725E8">
        <w:rPr>
          <w:rFonts w:eastAsia="Georgia"/>
          <w:lang w:val="en-US"/>
        </w:rPr>
        <w:t>sociocognitive</w:t>
      </w:r>
      <w:proofErr w:type="spellEnd"/>
      <w:r w:rsidRPr="007725E8">
        <w:rPr>
          <w:rFonts w:eastAsia="Georgia"/>
          <w:lang w:val="en-US"/>
        </w:rPr>
        <w:t xml:space="preserve"> approach. W: R. </w:t>
      </w:r>
      <w:proofErr w:type="spellStart"/>
      <w:r w:rsidRPr="007725E8">
        <w:rPr>
          <w:rFonts w:eastAsia="Georgia"/>
          <w:lang w:val="en-US"/>
        </w:rPr>
        <w:t>Wodak</w:t>
      </w:r>
      <w:proofErr w:type="spellEnd"/>
      <w:r w:rsidRPr="007725E8">
        <w:rPr>
          <w:rFonts w:eastAsia="Georgia"/>
          <w:lang w:val="en-US"/>
        </w:rPr>
        <w:t xml:space="preserve"> </w:t>
      </w:r>
      <w:proofErr w:type="spellStart"/>
      <w:r w:rsidRPr="007725E8">
        <w:rPr>
          <w:rFonts w:eastAsia="Georgia"/>
          <w:lang w:val="en-US"/>
        </w:rPr>
        <w:t>i</w:t>
      </w:r>
      <w:proofErr w:type="spellEnd"/>
      <w:r w:rsidRPr="007725E8">
        <w:rPr>
          <w:rFonts w:eastAsia="Georgia"/>
          <w:lang w:val="en-US"/>
        </w:rPr>
        <w:t xml:space="preserve"> M. Meyer (red.), </w:t>
      </w:r>
      <w:r w:rsidRPr="007725E8">
        <w:rPr>
          <w:rFonts w:eastAsia="Georgia"/>
          <w:i/>
          <w:iCs/>
          <w:lang w:val="en-US"/>
        </w:rPr>
        <w:t>Methods of Critical Discourse Analysis</w:t>
      </w:r>
      <w:r w:rsidRPr="007725E8">
        <w:rPr>
          <w:rFonts w:eastAsia="Georgia"/>
          <w:lang w:val="en-US"/>
        </w:rPr>
        <w:t>. Wyd. 2. London: Sage. s.</w:t>
      </w:r>
      <w:r w:rsidR="0018221E">
        <w:rPr>
          <w:rFonts w:eastAsia="Georgia"/>
          <w:lang w:val="en-US"/>
        </w:rPr>
        <w:t xml:space="preserve"> </w:t>
      </w:r>
      <w:r w:rsidRPr="007725E8">
        <w:rPr>
          <w:rFonts w:eastAsia="Georgia"/>
          <w:lang w:val="en-US"/>
        </w:rPr>
        <w:t>62</w:t>
      </w:r>
      <w:r w:rsidR="0018221E">
        <w:rPr>
          <w:rFonts w:eastAsia="Georgia"/>
          <w:lang w:val="en-US"/>
        </w:rPr>
        <w:t>–</w:t>
      </w:r>
      <w:r w:rsidRPr="007725E8">
        <w:rPr>
          <w:rFonts w:eastAsia="Georgia"/>
          <w:lang w:val="en-US"/>
        </w:rPr>
        <w:t>86.</w:t>
      </w:r>
    </w:p>
    <w:p w14:paraId="2C940EB7" w14:textId="40AE7774" w:rsidR="00C34D92" w:rsidRPr="005D2BAF" w:rsidRDefault="00861662" w:rsidP="00F2601A">
      <w:pPr>
        <w:pStyle w:val="Bezodstpw"/>
        <w:jc w:val="both"/>
        <w:rPr>
          <w:lang w:val="en-US"/>
        </w:rPr>
      </w:pPr>
      <w:bookmarkStart w:id="16" w:name="page20"/>
      <w:bookmarkEnd w:id="16"/>
      <w:r w:rsidRPr="007725E8">
        <w:rPr>
          <w:rFonts w:eastAsia="Georgia"/>
          <w:lang w:val="en-US"/>
        </w:rPr>
        <w:t>van Leeuwen, T. (1996). The representation of social actors. W C. Caldas-</w:t>
      </w:r>
      <w:proofErr w:type="spellStart"/>
      <w:r w:rsidRPr="007725E8">
        <w:rPr>
          <w:rFonts w:eastAsia="Georgia"/>
          <w:lang w:val="en-US"/>
        </w:rPr>
        <w:t>Coulthard</w:t>
      </w:r>
      <w:proofErr w:type="spellEnd"/>
      <w:r w:rsidRPr="007725E8">
        <w:rPr>
          <w:rFonts w:eastAsia="Georgia"/>
          <w:lang w:val="en-US"/>
        </w:rPr>
        <w:t xml:space="preserve"> </w:t>
      </w:r>
      <w:proofErr w:type="spellStart"/>
      <w:r w:rsidRPr="007725E8">
        <w:rPr>
          <w:rFonts w:eastAsia="Georgia"/>
          <w:lang w:val="en-US"/>
        </w:rPr>
        <w:t>i</w:t>
      </w:r>
      <w:proofErr w:type="spellEnd"/>
      <w:r w:rsidRPr="007725E8">
        <w:rPr>
          <w:rFonts w:eastAsia="Georgia"/>
          <w:lang w:val="en-US"/>
        </w:rPr>
        <w:t xml:space="preserve"> M. </w:t>
      </w:r>
      <w:proofErr w:type="spellStart"/>
      <w:r w:rsidRPr="007725E8">
        <w:rPr>
          <w:rFonts w:eastAsia="Georgia"/>
          <w:lang w:val="en-US"/>
        </w:rPr>
        <w:t>Coulthard</w:t>
      </w:r>
      <w:proofErr w:type="spellEnd"/>
      <w:r w:rsidRPr="007725E8">
        <w:rPr>
          <w:rFonts w:eastAsia="Georgia"/>
          <w:lang w:val="en-US"/>
        </w:rPr>
        <w:t xml:space="preserve"> (eds.), </w:t>
      </w:r>
      <w:r w:rsidRPr="007725E8">
        <w:rPr>
          <w:rFonts w:eastAsia="Georgia"/>
          <w:i/>
          <w:iCs/>
          <w:lang w:val="en-US"/>
        </w:rPr>
        <w:t>Texts and Practices: Readings in Critical Discourse Analysis</w:t>
      </w:r>
      <w:r w:rsidRPr="007725E8">
        <w:rPr>
          <w:rFonts w:eastAsia="Georgia"/>
          <w:lang w:val="en-US"/>
        </w:rPr>
        <w:t>. London: Routledge. s. 32</w:t>
      </w:r>
      <w:r w:rsidR="0018221E">
        <w:rPr>
          <w:rFonts w:eastAsia="Georgia"/>
          <w:lang w:val="en-US"/>
        </w:rPr>
        <w:t>–</w:t>
      </w:r>
      <w:r w:rsidRPr="007725E8">
        <w:rPr>
          <w:rFonts w:eastAsia="Georgia"/>
          <w:lang w:val="en-US"/>
        </w:rPr>
        <w:t>70.</w:t>
      </w:r>
    </w:p>
    <w:p w14:paraId="2FCB3478" w14:textId="46DAA22D" w:rsidR="00C34D92" w:rsidRPr="005D2BAF" w:rsidRDefault="00861662" w:rsidP="00F2601A">
      <w:pPr>
        <w:pStyle w:val="Bezodstpw"/>
        <w:jc w:val="both"/>
        <w:rPr>
          <w:lang w:val="en-US"/>
        </w:rPr>
      </w:pPr>
      <w:r w:rsidRPr="007725E8">
        <w:rPr>
          <w:rFonts w:eastAsia="Georgia"/>
          <w:lang w:val="en-US"/>
        </w:rPr>
        <w:t xml:space="preserve">van Leeuwen, T. (1999 [2006]). Speech, Music, Sound. Basingstoke: Macmillan. </w:t>
      </w:r>
      <w:proofErr w:type="spellStart"/>
      <w:r w:rsidRPr="007725E8">
        <w:rPr>
          <w:rFonts w:eastAsia="Georgia"/>
          <w:lang w:val="en-US"/>
        </w:rPr>
        <w:t>Rozdział</w:t>
      </w:r>
      <w:proofErr w:type="spellEnd"/>
      <w:r w:rsidRPr="007725E8">
        <w:rPr>
          <w:rFonts w:eastAsia="Georgia"/>
          <w:lang w:val="en-US"/>
        </w:rPr>
        <w:t xml:space="preserve"> 2 </w:t>
      </w:r>
      <w:proofErr w:type="spellStart"/>
      <w:r w:rsidRPr="007725E8">
        <w:rPr>
          <w:rFonts w:eastAsia="Georgia"/>
          <w:lang w:val="en-US"/>
        </w:rPr>
        <w:t>przedrukowany</w:t>
      </w:r>
      <w:proofErr w:type="spellEnd"/>
      <w:r w:rsidRPr="007725E8">
        <w:rPr>
          <w:rFonts w:eastAsia="Georgia"/>
          <w:lang w:val="en-US"/>
        </w:rPr>
        <w:t xml:space="preserve"> w A. Jaworski </w:t>
      </w:r>
      <w:proofErr w:type="spellStart"/>
      <w:r w:rsidRPr="007725E8">
        <w:rPr>
          <w:rFonts w:eastAsia="Georgia"/>
          <w:lang w:val="en-US"/>
        </w:rPr>
        <w:t>i</w:t>
      </w:r>
      <w:proofErr w:type="spellEnd"/>
      <w:r w:rsidRPr="007725E8">
        <w:rPr>
          <w:rFonts w:eastAsia="Georgia"/>
          <w:lang w:val="en-US"/>
        </w:rPr>
        <w:t xml:space="preserve"> N. Coupland (eds.), </w:t>
      </w:r>
      <w:r w:rsidRPr="007725E8">
        <w:rPr>
          <w:rFonts w:eastAsia="Georgia"/>
          <w:i/>
          <w:iCs/>
          <w:lang w:val="en-US"/>
        </w:rPr>
        <w:t>The Discourse Reader</w:t>
      </w:r>
      <w:r w:rsidRPr="007725E8">
        <w:rPr>
          <w:rFonts w:eastAsia="Georgia"/>
          <w:lang w:val="en-US"/>
        </w:rPr>
        <w:t>. 2</w:t>
      </w:r>
      <w:r w:rsidRPr="007725E8">
        <w:rPr>
          <w:rFonts w:eastAsia="Georgia"/>
          <w:sz w:val="12"/>
          <w:szCs w:val="12"/>
          <w:lang w:val="en-US"/>
        </w:rPr>
        <w:t>nd</w:t>
      </w:r>
      <w:r w:rsidRPr="007725E8">
        <w:rPr>
          <w:rFonts w:eastAsia="Georgia"/>
          <w:lang w:val="en-US"/>
        </w:rPr>
        <w:t xml:space="preserve"> ed. London: Routledge. s. 179</w:t>
      </w:r>
      <w:r w:rsidR="0018221E">
        <w:rPr>
          <w:rFonts w:eastAsia="Georgia"/>
          <w:lang w:val="en-US"/>
        </w:rPr>
        <w:t>–</w:t>
      </w:r>
      <w:r w:rsidRPr="007725E8">
        <w:rPr>
          <w:rFonts w:eastAsia="Georgia"/>
          <w:lang w:val="en-US"/>
        </w:rPr>
        <w:t>193.</w:t>
      </w:r>
    </w:p>
    <w:p w14:paraId="5D4112A3" w14:textId="13801902" w:rsidR="00C34D92" w:rsidRDefault="00861662" w:rsidP="00F2601A">
      <w:pPr>
        <w:pStyle w:val="Bezodstpw"/>
        <w:jc w:val="both"/>
        <w:rPr>
          <w:rFonts w:eastAsia="Georgia"/>
          <w:lang w:val="en-GB"/>
        </w:rPr>
      </w:pPr>
      <w:r w:rsidRPr="007725E8">
        <w:rPr>
          <w:rFonts w:eastAsia="Georgia"/>
          <w:lang w:val="en-US"/>
        </w:rPr>
        <w:t xml:space="preserve">van Leeuwen., T. (2006). Towards a semiotics of typography. </w:t>
      </w:r>
      <w:r w:rsidRPr="004B00C9">
        <w:rPr>
          <w:rFonts w:eastAsia="Georgia"/>
          <w:i/>
          <w:iCs/>
          <w:lang w:val="en-GB"/>
        </w:rPr>
        <w:t>Information Design Journal and Document Design</w:t>
      </w:r>
      <w:r w:rsidRPr="004B00C9">
        <w:rPr>
          <w:rFonts w:eastAsia="Georgia"/>
          <w:lang w:val="en-GB"/>
        </w:rPr>
        <w:t xml:space="preserve"> 14(2): 139</w:t>
      </w:r>
      <w:r w:rsidR="0048170F">
        <w:rPr>
          <w:rFonts w:eastAsia="Georgia"/>
          <w:lang w:val="en-GB"/>
        </w:rPr>
        <w:t>–15</w:t>
      </w:r>
      <w:r w:rsidRPr="004B00C9">
        <w:rPr>
          <w:rFonts w:eastAsia="Georgia"/>
          <w:lang w:val="en-GB"/>
        </w:rPr>
        <w:t>5.</w:t>
      </w:r>
    </w:p>
    <w:p w14:paraId="344C2BAF" w14:textId="693496C3" w:rsidR="004208E9" w:rsidRDefault="004208E9" w:rsidP="00F2601A">
      <w:pPr>
        <w:pStyle w:val="Bezodstpw"/>
        <w:jc w:val="both"/>
        <w:rPr>
          <w:rFonts w:eastAsia="Georgia"/>
          <w:lang w:val="en-GB"/>
        </w:rPr>
      </w:pPr>
    </w:p>
    <w:p w14:paraId="3B04BE03" w14:textId="77777777" w:rsidR="004208E9" w:rsidRDefault="004208E9" w:rsidP="004208E9">
      <w:pPr>
        <w:rPr>
          <w:rFonts w:eastAsia="Georgia"/>
          <w:lang w:val="en-GB"/>
        </w:rPr>
      </w:pPr>
    </w:p>
    <w:p w14:paraId="1C8C2E14" w14:textId="4DAB2DB1" w:rsidR="004208E9" w:rsidRPr="004208E9" w:rsidRDefault="004208E9" w:rsidP="004208E9">
      <w:pPr>
        <w:ind w:firstLine="0"/>
        <w:rPr>
          <w:sz w:val="20"/>
          <w:szCs w:val="20"/>
          <w:lang w:val="en-GB"/>
        </w:rPr>
      </w:pPr>
      <w:proofErr w:type="spellStart"/>
      <w:r w:rsidRPr="004208E9">
        <w:rPr>
          <w:sz w:val="20"/>
          <w:szCs w:val="20"/>
          <w:lang w:val="en-GB"/>
        </w:rPr>
        <w:t>Źródło</w:t>
      </w:r>
      <w:proofErr w:type="spellEnd"/>
      <w:r w:rsidRPr="004208E9">
        <w:rPr>
          <w:sz w:val="20"/>
          <w:szCs w:val="20"/>
          <w:lang w:val="en-GB"/>
        </w:rPr>
        <w:t xml:space="preserve">: Koller, Veronika (2012): How to Analyse Collective Identity in Discourse – Textual and Contextual Parameters. </w:t>
      </w:r>
      <w:r w:rsidRPr="004208E9">
        <w:rPr>
          <w:i/>
          <w:sz w:val="20"/>
          <w:szCs w:val="20"/>
          <w:lang w:val="en-GB"/>
        </w:rPr>
        <w:t>Critical Approaches to Discourse Analysis Across Disciplines</w:t>
      </w:r>
      <w:r w:rsidRPr="004208E9">
        <w:rPr>
          <w:sz w:val="20"/>
          <w:szCs w:val="20"/>
          <w:lang w:val="en-GB"/>
        </w:rPr>
        <w:t xml:space="preserve">, 5(2), s. 19-38. &lt;http://cadaad.net/2012_volume_5_issue_2/79-66&gt;  </w:t>
      </w:r>
    </w:p>
    <w:p w14:paraId="48D088A9" w14:textId="777F928C" w:rsidR="004208E9" w:rsidRPr="004208E9" w:rsidRDefault="004208E9" w:rsidP="004208E9">
      <w:pPr>
        <w:ind w:firstLine="0"/>
        <w:rPr>
          <w:sz w:val="20"/>
          <w:szCs w:val="20"/>
        </w:rPr>
      </w:pPr>
      <w:r w:rsidRPr="004208E9">
        <w:rPr>
          <w:sz w:val="20"/>
          <w:szCs w:val="20"/>
        </w:rPr>
        <w:t>Tłumacze tego artykułu, Pani </w:t>
      </w:r>
      <w:r w:rsidR="00634CEE">
        <w:rPr>
          <w:rStyle w:val="Pogrubienie"/>
          <w:sz w:val="20"/>
          <w:szCs w:val="20"/>
        </w:rPr>
        <w:t>Gabriela Karpowi</w:t>
      </w:r>
      <w:r w:rsidRPr="004208E9">
        <w:rPr>
          <w:rStyle w:val="Pogrubienie"/>
          <w:sz w:val="20"/>
          <w:szCs w:val="20"/>
        </w:rPr>
        <w:t>cz oraz Pan Tobiasz Kubisiowski</w:t>
      </w:r>
      <w:r w:rsidRPr="004208E9">
        <w:rPr>
          <w:sz w:val="20"/>
          <w:szCs w:val="20"/>
        </w:rPr>
        <w:t> z Instytutu Lingwistyki Stosowanej na Uniwersytecie Warszawskim, wygrali konkurs dla doktorantów i studentów polskich uniwersytetów na najlepsze tłumaczenie tekstu naukowego, zorganizowany przez Ośrodek Badawczo Dydaktyczny i Transferu Wiedzy Tekst-Dyskurs-Komunikacja (Uniwersytet Rzeszowski, Kolegium Nauk Humanistycznych).</w:t>
      </w:r>
    </w:p>
    <w:p w14:paraId="03179B9B" w14:textId="77777777" w:rsidR="004208E9" w:rsidRPr="004208E9" w:rsidRDefault="004208E9" w:rsidP="004208E9">
      <w:pPr>
        <w:ind w:firstLine="0"/>
        <w:rPr>
          <w:sz w:val="20"/>
          <w:szCs w:val="20"/>
        </w:rPr>
      </w:pPr>
      <w:r w:rsidRPr="004208E9">
        <w:rPr>
          <w:sz w:val="20"/>
          <w:szCs w:val="20"/>
        </w:rPr>
        <w:t xml:space="preserve">Konsultacja merytoryczna: prof. Zofia </w:t>
      </w:r>
      <w:proofErr w:type="spellStart"/>
      <w:r w:rsidRPr="004208E9">
        <w:rPr>
          <w:sz w:val="20"/>
          <w:szCs w:val="20"/>
        </w:rPr>
        <w:t>Bilut-Homplewicz</w:t>
      </w:r>
      <w:proofErr w:type="spellEnd"/>
      <w:r w:rsidRPr="004208E9">
        <w:rPr>
          <w:sz w:val="20"/>
          <w:szCs w:val="20"/>
        </w:rPr>
        <w:t>, dr hab. prof. UR Anna Hanus, dr hab. prof. UR Maria Krauz, dr Dorota Miller, dr Ewa Kusz</w:t>
      </w:r>
    </w:p>
    <w:p w14:paraId="53F5ECD9" w14:textId="77777777" w:rsidR="004208E9" w:rsidRPr="004208E9" w:rsidRDefault="004208E9" w:rsidP="00F2601A">
      <w:pPr>
        <w:pStyle w:val="Bezodstpw"/>
        <w:jc w:val="both"/>
        <w:rPr>
          <w:lang w:val="pl"/>
        </w:rPr>
      </w:pPr>
    </w:p>
    <w:sectPr w:rsidR="004208E9" w:rsidRPr="004208E9">
      <w:type w:val="continuous"/>
      <w:pgSz w:w="11900" w:h="16838"/>
      <w:pgMar w:top="705" w:right="1440" w:bottom="1440" w:left="1440" w:header="0" w:footer="0" w:gutter="0"/>
      <w:cols w:space="708"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E08D" w14:textId="77777777" w:rsidR="008E2699" w:rsidRDefault="008E2699" w:rsidP="008C537D">
      <w:r>
        <w:separator/>
      </w:r>
    </w:p>
  </w:endnote>
  <w:endnote w:type="continuationSeparator" w:id="0">
    <w:p w14:paraId="1D89ED77" w14:textId="77777777" w:rsidR="008E2699" w:rsidRDefault="008E2699" w:rsidP="007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13C5" w14:textId="77777777" w:rsidR="008E2699" w:rsidRDefault="008E2699" w:rsidP="008C537D">
      <w:r>
        <w:separator/>
      </w:r>
    </w:p>
  </w:footnote>
  <w:footnote w:type="continuationSeparator" w:id="0">
    <w:p w14:paraId="08A7A180" w14:textId="77777777" w:rsidR="008E2699" w:rsidRDefault="008E2699" w:rsidP="008C537D">
      <w:r>
        <w:continuationSeparator/>
      </w:r>
    </w:p>
  </w:footnote>
  <w:footnote w:id="1">
    <w:p w14:paraId="4363C304" w14:textId="61C6516E" w:rsidR="00642D94" w:rsidRPr="007725E8" w:rsidRDefault="00642D94" w:rsidP="0086691D">
      <w:pPr>
        <w:pStyle w:val="Tekstprzypisudolnego"/>
        <w:rPr>
          <w:lang w:val="en-US"/>
        </w:rPr>
      </w:pPr>
      <w:r>
        <w:rPr>
          <w:rStyle w:val="Odwoanieprzypisudolnego"/>
        </w:rPr>
        <w:footnoteRef/>
      </w:r>
      <w:r w:rsidRPr="004B00C9">
        <w:rPr>
          <w:lang w:val="en-US"/>
        </w:rPr>
        <w:t xml:space="preserve"> „</w:t>
      </w:r>
      <w:r w:rsidRPr="004B00C9">
        <w:rPr>
          <w:rStyle w:val="l-content-editortext"/>
          <w:lang w:val="en-US"/>
        </w:rPr>
        <w:t>organized, coherent, socially shared set[s] of knowledge about an object or domain of objects”</w:t>
      </w:r>
    </w:p>
  </w:footnote>
  <w:footnote w:id="2">
    <w:p w14:paraId="6E52B45D" w14:textId="792402C1" w:rsidR="00642D94" w:rsidRPr="007725E8" w:rsidRDefault="00642D94" w:rsidP="0086691D">
      <w:pPr>
        <w:pStyle w:val="Tekstprzypisudolnego"/>
        <w:rPr>
          <w:lang w:val="en-US"/>
        </w:rPr>
      </w:pPr>
      <w:r>
        <w:rPr>
          <w:rStyle w:val="Odwoanieprzypisudolnego"/>
        </w:rPr>
        <w:footnoteRef/>
      </w:r>
      <w:r w:rsidRPr="004B00C9">
        <w:rPr>
          <w:lang w:val="en-US"/>
        </w:rPr>
        <w:t xml:space="preserve"> „</w:t>
      </w:r>
      <w:r w:rsidRPr="004B00C9">
        <w:rPr>
          <w:rStyle w:val="l-content-editortext"/>
          <w:lang w:val="en-US"/>
        </w:rPr>
        <w:t>affective structures with inherent normative and evaluative dimensions</w:t>
      </w:r>
      <w:r>
        <w:rPr>
          <w:rStyle w:val="l-content-editortext"/>
          <w:lang w:val="en-US"/>
        </w:rPr>
        <w:t>”</w:t>
      </w:r>
    </w:p>
  </w:footnote>
  <w:footnote w:id="3">
    <w:p w14:paraId="20DF0898" w14:textId="02E63CEC" w:rsidR="00642D94" w:rsidRPr="007725E8" w:rsidRDefault="00642D94" w:rsidP="0086691D">
      <w:pPr>
        <w:pStyle w:val="Tekstprzypisudolnego"/>
        <w:rPr>
          <w:lang w:val="en-US"/>
        </w:rPr>
      </w:pPr>
      <w:r>
        <w:rPr>
          <w:rStyle w:val="Odwoanieprzypisudolnego"/>
        </w:rPr>
        <w:footnoteRef/>
      </w:r>
      <w:r w:rsidRPr="004B00C9">
        <w:rPr>
          <w:lang w:val="en-US"/>
        </w:rPr>
        <w:t xml:space="preserve"> </w:t>
      </w:r>
      <w:r>
        <w:rPr>
          <w:lang w:val="en-US"/>
        </w:rPr>
        <w:t>„</w:t>
      </w:r>
      <w:r w:rsidRPr="004B00C9">
        <w:rPr>
          <w:lang w:val="en-US"/>
        </w:rPr>
        <w:t>socially and discursively constructed in the course of … communication</w:t>
      </w:r>
      <w:r>
        <w:rPr>
          <w:lang w:val="en-US"/>
        </w:rPr>
        <w:t>”</w:t>
      </w:r>
    </w:p>
  </w:footnote>
  <w:footnote w:id="4">
    <w:p w14:paraId="21E320A6" w14:textId="794CC930" w:rsidR="00642D94" w:rsidRPr="007725E8" w:rsidRDefault="00642D94" w:rsidP="0086691D">
      <w:pPr>
        <w:pStyle w:val="Tekstprzypisudolnego"/>
        <w:rPr>
          <w:lang w:val="en-US"/>
        </w:rPr>
      </w:pPr>
      <w:r>
        <w:rPr>
          <w:rStyle w:val="Odwoanieprzypisudolnego"/>
        </w:rPr>
        <w:footnoteRef/>
      </w:r>
      <w:r w:rsidRPr="004B00C9">
        <w:rPr>
          <w:lang w:val="en-US"/>
        </w:rPr>
        <w:t xml:space="preserve"> „</w:t>
      </w:r>
      <w:r w:rsidRPr="004B00C9">
        <w:rPr>
          <w:rStyle w:val="l-content-editortext"/>
          <w:lang w:val="en-US"/>
        </w:rPr>
        <w:t>continual transformation … through the ebb and flow of intergroup relations</w:t>
      </w:r>
      <w:r>
        <w:rPr>
          <w:rStyle w:val="l-content-editortext"/>
          <w:lang w:val="en-US"/>
        </w:rPr>
        <w:t>”</w:t>
      </w:r>
    </w:p>
  </w:footnote>
  <w:footnote w:id="5">
    <w:p w14:paraId="0C94A188" w14:textId="2698664B" w:rsidR="00642D94" w:rsidRDefault="00642D94" w:rsidP="0086691D">
      <w:pPr>
        <w:pStyle w:val="Tekstprzypisudolnego"/>
      </w:pPr>
      <w:r>
        <w:rPr>
          <w:rStyle w:val="Odwoanieprzypisudolnego"/>
        </w:rPr>
        <w:footnoteRef/>
      </w:r>
      <w:r>
        <w:t xml:space="preserve"> </w:t>
      </w:r>
      <w:r w:rsidRPr="00396591">
        <w:t>Autorka odnosi się w tym miejscu do kategorii policzalności w języku angielskim i rozróżnieniu między niepoliczalnym „discourse” a policzalnym „a discourse” (zob. Fairclough 2010: 95–96). W tym miejscu przybliżymy ogólny sens tego rozróżnienia, jednak pominiemy płynące z niego konsekwencje dla cech gramatycznych terminu „discourse” w języku angielskim – przyp. tłum.</w:t>
      </w:r>
    </w:p>
  </w:footnote>
  <w:footnote w:id="6">
    <w:p w14:paraId="7E2F1338" w14:textId="5C0B308D" w:rsidR="00642D94" w:rsidRDefault="00642D94" w:rsidP="0086691D">
      <w:pPr>
        <w:pStyle w:val="Tekstprzypisudolnego"/>
      </w:pPr>
      <w:r>
        <w:rPr>
          <w:rStyle w:val="Odwoanieprzypisudolnego"/>
        </w:rPr>
        <w:footnoteRef/>
      </w:r>
      <w:r>
        <w:t xml:space="preserve"> </w:t>
      </w:r>
      <w:r w:rsidRPr="00384E93">
        <w:t>Niektóre z wymienionych poniżej parametrów pochodzą</w:t>
      </w:r>
      <w:r>
        <w:t xml:space="preserve"> wywodzą się? </w:t>
      </w:r>
      <w:r w:rsidRPr="00384E93">
        <w:t>z lingwistyki systemowo-funkcjonalnej (SFL). Należy zauważyć, że dwóch głównych zwolenników podejścia socjokognitywnego w KDA, van Dijk (2004: 340-347) i Chilton (2005), wyraziło silny sprzeciw wobec SFL ze względu na brak użycia w niej pojęć kognitywnych. Stanowi to istotnie poważny problem tej perspektywy badawczej, jednakże w tym artykule jej elementy są użyte jako element przeglądu metod analitycznych, a nie próba rozpatrzenia bardziej podstawowych problemów wiążących się z tą teorią.</w:t>
      </w:r>
    </w:p>
  </w:footnote>
  <w:footnote w:id="7">
    <w:p w14:paraId="3D7B1DD9" w14:textId="5C2BF16F" w:rsidR="00642D94" w:rsidRDefault="00642D94" w:rsidP="0086691D">
      <w:pPr>
        <w:pStyle w:val="Tekstprzypisudolnego"/>
      </w:pPr>
      <w:r>
        <w:rPr>
          <w:rStyle w:val="Odwoanieprzypisudolnego"/>
        </w:rPr>
        <w:footnoteRef/>
      </w:r>
      <w:r>
        <w:t xml:space="preserve"> „</w:t>
      </w:r>
      <w:r>
        <w:rPr>
          <w:rStyle w:val="l-content-editortext"/>
        </w:rPr>
        <w:t>the Muslim world [moves] towards greater democratic stability, liberty and human rights”;</w:t>
      </w:r>
      <w:r>
        <w:t xml:space="preserve"> </w:t>
      </w:r>
      <w:r w:rsidRPr="00F02286">
        <w:t>Przemówienie z okazji konferencji przywódców zorganizowanej przez Biuro Spraw Zagranicznych oraz Wspólnoty Zjednoczonego Królestwa, 7 stycznia 2003.</w:t>
      </w:r>
    </w:p>
  </w:footnote>
  <w:footnote w:id="8">
    <w:p w14:paraId="6FDEC3AC" w14:textId="2AB081D3" w:rsidR="00642D94" w:rsidRDefault="00642D94" w:rsidP="0086691D">
      <w:pPr>
        <w:pStyle w:val="Tekstprzypisudolnego"/>
      </w:pPr>
      <w:r>
        <w:rPr>
          <w:rStyle w:val="Odwoanieprzypisudolnego"/>
        </w:rPr>
        <w:footnoteRef/>
      </w:r>
      <w:r>
        <w:t xml:space="preserve"> </w:t>
      </w:r>
      <w:r w:rsidRPr="00F02286">
        <w:t xml:space="preserve">Badania na temat przyswajania drugiego języka (Philip 2010) dostarczają dowodów na to, że realizacje frazeologiczne metafor konceptualnych w danym języku są nie tylko zjawiskami powierzchniowymi, ale elementami, które mają wpływ na samo tworzenie się mapowania pojęciowego. Stanowi to potwierdzenie cyklicznego modelu dyskursu i poznania, jak przedstawiono </w:t>
      </w:r>
      <w:r w:rsidRPr="0006021E">
        <w:t xml:space="preserve">w </w:t>
      </w:r>
      <w:r w:rsidRPr="00342A74">
        <w:t>rozdziale 2</w:t>
      </w:r>
      <w:r w:rsidRPr="00F02286">
        <w:t xml:space="preserve"> niniejszego artykułu.</w:t>
      </w:r>
    </w:p>
  </w:footnote>
  <w:footnote w:id="9">
    <w:p w14:paraId="6D142D98" w14:textId="77777777" w:rsidR="00642D94" w:rsidRDefault="00642D94" w:rsidP="0086691D">
      <w:pPr>
        <w:pStyle w:val="Tekstprzypisudolnego"/>
      </w:pPr>
      <w:r>
        <w:rPr>
          <w:rStyle w:val="Odwoanieprzypisudolnego"/>
        </w:rPr>
        <w:footnoteRef/>
      </w:r>
      <w:r>
        <w:t xml:space="preserve"> 1 gdzieś! Idealny prezent dla dziewczyny z charakterem, nie pomylisz się</w:t>
      </w:r>
    </w:p>
    <w:p w14:paraId="3A2605E6" w14:textId="77777777" w:rsidR="00642D94" w:rsidRDefault="00642D94" w:rsidP="0086691D">
      <w:pPr>
        <w:pStyle w:val="Tekstprzypisudolnego"/>
      </w:pPr>
      <w:r>
        <w:t>2 produkty do ciała i twarzy, które każdej dziewczynie pomogą czuć się pewnie i kobieco.</w:t>
      </w:r>
    </w:p>
    <w:p w14:paraId="5FBD0EC3" w14:textId="77777777" w:rsidR="00642D94" w:rsidRDefault="00642D94" w:rsidP="0086691D">
      <w:pPr>
        <w:pStyle w:val="Tekstprzypisudolnego"/>
      </w:pPr>
      <w:r>
        <w:t>3 Heaven in a Hatbox rozweseli święta każdej dziewczyny.</w:t>
      </w:r>
    </w:p>
    <w:p w14:paraId="72EC303E" w14:textId="77777777" w:rsidR="00642D94" w:rsidRDefault="00642D94" w:rsidP="0086691D">
      <w:pPr>
        <w:pStyle w:val="Tekstprzypisudolnego"/>
      </w:pPr>
      <w:r>
        <w:t>4 które zawsze chciała. Tevor Sorbie: dla dziewczyn, które uwielbiają wyglądać jak najlepiej,</w:t>
      </w:r>
    </w:p>
    <w:p w14:paraId="6A03BFD2" w14:textId="076E4588" w:rsidR="00642D94" w:rsidRDefault="00642D94" w:rsidP="0086691D">
      <w:pPr>
        <w:pStyle w:val="Tekstprzypisudolnego"/>
      </w:pPr>
      <w:r>
        <w:t>5 najbardziej chcianych prezentów dla dziewczyn w tym roku, malując na ich twarzach uśmiech.</w:t>
      </w:r>
    </w:p>
    <w:p w14:paraId="2CE2BA86" w14:textId="77777777" w:rsidR="00642D94" w:rsidRDefault="00642D94" w:rsidP="0086691D">
      <w:pPr>
        <w:pStyle w:val="Tekstprzypisudolnego"/>
      </w:pPr>
      <w:r>
        <w:t>6 dla wszystkich modnych koleżanek/córek. 20 super produktów dla nastolatek:</w:t>
      </w:r>
    </w:p>
    <w:p w14:paraId="111A7B5A" w14:textId="77777777" w:rsidR="00642D94" w:rsidRDefault="00642D94" w:rsidP="0086691D">
      <w:pPr>
        <w:pStyle w:val="Tekstprzypisudolnego"/>
      </w:pPr>
      <w:r>
        <w:t>7 jest trendy dla modnych dziewczyn. Jedna z najgorętszych marek Londynu</w:t>
      </w:r>
    </w:p>
    <w:p w14:paraId="3FFAE8E9" w14:textId="77777777" w:rsidR="00642D94" w:rsidRDefault="00642D94" w:rsidP="0086691D">
      <w:pPr>
        <w:pStyle w:val="Tekstprzypisudolnego"/>
      </w:pPr>
      <w:r>
        <w:t>8 porze roku. Każdej z olśniewających koleżanek spraw</w:t>
      </w:r>
    </w:p>
    <w:p w14:paraId="17C61BD9" w14:textId="77777777" w:rsidR="00642D94" w:rsidRDefault="00642D94" w:rsidP="0086691D">
      <w:pPr>
        <w:pStyle w:val="Tekstprzypisudolnego"/>
      </w:pPr>
      <w:r>
        <w:t>9 świeczkę. The Garden Collection: dziewczynom, które lubią spędzać czas na dworze, spodobają się słodkie zapachy</w:t>
      </w:r>
    </w:p>
    <w:p w14:paraId="4A12D3F3" w14:textId="26270835" w:rsidR="00642D94" w:rsidRDefault="00642D94" w:rsidP="0086691D">
      <w:pPr>
        <w:pStyle w:val="Tekstprzypisudolnego"/>
      </w:pPr>
      <w:r>
        <w:t>10 współczesne piękno, które zadowoli sassy dziewczyny zakochane w produktach</w:t>
      </w:r>
    </w:p>
  </w:footnote>
  <w:footnote w:id="10">
    <w:p w14:paraId="4DE63F20" w14:textId="57BA7743" w:rsidR="00642D94" w:rsidRDefault="00642D94" w:rsidP="0086691D">
      <w:pPr>
        <w:pStyle w:val="Tekstprzypisudolnego"/>
      </w:pPr>
      <w:r>
        <w:rPr>
          <w:rStyle w:val="Odwoanieprzypisudolnego"/>
        </w:rPr>
        <w:footnoteRef/>
      </w:r>
      <w:r>
        <w:t xml:space="preserve"> </w:t>
      </w:r>
      <w:r w:rsidR="001C1170">
        <w:t>W</w:t>
      </w:r>
      <w:r>
        <w:t xml:space="preserve">skaźnik typu token (type-token ratio, TTR) – </w:t>
      </w:r>
      <w:r w:rsidRPr="00AF2B31">
        <w:t xml:space="preserve">stosunek liczby wyrazów użytych w tekście (types), rozumianych jako hasła lub klasy wyrazów, </w:t>
      </w:r>
      <w:r>
        <w:t>na przykład</w:t>
      </w:r>
      <w:r w:rsidRPr="00AF2B31">
        <w:t xml:space="preserve"> drzewo do sumy ich użyć (tokens) w tekstach korpusu z uwzględnieniem wszystkich znalezionych form, </w:t>
      </w:r>
      <w:r>
        <w:t>na przykład</w:t>
      </w:r>
      <w:r w:rsidRPr="00AF2B31">
        <w:t xml:space="preserve"> drzewa, drzewu, drzewom</w:t>
      </w:r>
      <w:r>
        <w:t xml:space="preserve"> (przyp. tłum.)</w:t>
      </w:r>
    </w:p>
  </w:footnote>
  <w:footnote w:id="11">
    <w:p w14:paraId="09773EDD" w14:textId="2280E813" w:rsidR="00642D94" w:rsidRPr="007725E8" w:rsidRDefault="00642D94" w:rsidP="0086691D">
      <w:pPr>
        <w:pStyle w:val="Tekstprzypisudolnego"/>
        <w:rPr>
          <w:lang w:val="en-US"/>
        </w:rPr>
      </w:pPr>
      <w:r>
        <w:rPr>
          <w:rStyle w:val="Odwoanieprzypisudolnego"/>
        </w:rPr>
        <w:footnoteRef/>
      </w:r>
      <w:r w:rsidRPr="007725E8">
        <w:rPr>
          <w:lang w:val="en-US"/>
        </w:rPr>
        <w:t xml:space="preserve"> „</w:t>
      </w:r>
      <w:r w:rsidRPr="007725E8">
        <w:rPr>
          <w:rStyle w:val="l-content-editortext"/>
          <w:lang w:val="en-US"/>
        </w:rPr>
        <w:t>health and beauty retailer”</w:t>
      </w:r>
    </w:p>
  </w:footnote>
  <w:footnote w:id="12">
    <w:p w14:paraId="3D94BAF5" w14:textId="5FBDA42B" w:rsidR="00642D94" w:rsidRPr="007725E8" w:rsidRDefault="00642D94" w:rsidP="0086691D">
      <w:pPr>
        <w:pStyle w:val="Tekstprzypisudolnego"/>
        <w:rPr>
          <w:lang w:val="en-US"/>
        </w:rPr>
      </w:pPr>
      <w:r>
        <w:rPr>
          <w:rStyle w:val="Odwoanieprzypisudolnego"/>
        </w:rPr>
        <w:footnoteRef/>
      </w:r>
      <w:r w:rsidRPr="007725E8">
        <w:rPr>
          <w:lang w:val="en-US"/>
        </w:rPr>
        <w:t xml:space="preserve"> „</w:t>
      </w:r>
      <w:r w:rsidRPr="00396591">
        <w:rPr>
          <w:lang w:val="en-US"/>
        </w:rPr>
        <w:t>This new relation to the self subjects individuals ... by rewarding their … aesthetic mastery of the self while making any problematization of … social structure counter-intuitive … In an age of neoliberalism … the sovereignty of ‘identity’ refers … to the ‘free choice’ of the consumer, … where choice … is reduced to selection among the predetermined universe of commoditized goods and services.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37D2D88A"/>
    <w:lvl w:ilvl="0" w:tplc="533A62F4">
      <w:start w:val="4"/>
      <w:numFmt w:val="decimal"/>
      <w:lvlText w:val="%1."/>
      <w:lvlJc w:val="left"/>
    </w:lvl>
    <w:lvl w:ilvl="1" w:tplc="A3DA633E">
      <w:numFmt w:val="decimal"/>
      <w:lvlText w:val=""/>
      <w:lvlJc w:val="left"/>
    </w:lvl>
    <w:lvl w:ilvl="2" w:tplc="CE16BD56">
      <w:numFmt w:val="decimal"/>
      <w:lvlText w:val=""/>
      <w:lvlJc w:val="left"/>
    </w:lvl>
    <w:lvl w:ilvl="3" w:tplc="0EB0D9D8">
      <w:numFmt w:val="decimal"/>
      <w:lvlText w:val=""/>
      <w:lvlJc w:val="left"/>
    </w:lvl>
    <w:lvl w:ilvl="4" w:tplc="C24218F6">
      <w:numFmt w:val="decimal"/>
      <w:lvlText w:val=""/>
      <w:lvlJc w:val="left"/>
    </w:lvl>
    <w:lvl w:ilvl="5" w:tplc="0E98583E">
      <w:numFmt w:val="decimal"/>
      <w:lvlText w:val=""/>
      <w:lvlJc w:val="left"/>
    </w:lvl>
    <w:lvl w:ilvl="6" w:tplc="D3944B02">
      <w:numFmt w:val="decimal"/>
      <w:lvlText w:val=""/>
      <w:lvlJc w:val="left"/>
    </w:lvl>
    <w:lvl w:ilvl="7" w:tplc="FBEE8CEE">
      <w:numFmt w:val="decimal"/>
      <w:lvlText w:val=""/>
      <w:lvlJc w:val="left"/>
    </w:lvl>
    <w:lvl w:ilvl="8" w:tplc="04B6123A">
      <w:numFmt w:val="decimal"/>
      <w:lvlText w:val=""/>
      <w:lvlJc w:val="left"/>
    </w:lvl>
  </w:abstractNum>
  <w:abstractNum w:abstractNumId="1" w15:restartNumberingAfterBreak="0">
    <w:nsid w:val="2AE8944A"/>
    <w:multiLevelType w:val="hybridMultilevel"/>
    <w:tmpl w:val="24F42806"/>
    <w:lvl w:ilvl="0" w:tplc="C4FEC6BC">
      <w:start w:val="1"/>
      <w:numFmt w:val="decimal"/>
      <w:lvlText w:val="%1."/>
      <w:lvlJc w:val="left"/>
    </w:lvl>
    <w:lvl w:ilvl="1" w:tplc="93B06DE0">
      <w:numFmt w:val="decimal"/>
      <w:lvlText w:val=""/>
      <w:lvlJc w:val="left"/>
    </w:lvl>
    <w:lvl w:ilvl="2" w:tplc="A97EE9CC">
      <w:numFmt w:val="decimal"/>
      <w:lvlText w:val=""/>
      <w:lvlJc w:val="left"/>
    </w:lvl>
    <w:lvl w:ilvl="3" w:tplc="EAA8E8A0">
      <w:numFmt w:val="decimal"/>
      <w:lvlText w:val=""/>
      <w:lvlJc w:val="left"/>
    </w:lvl>
    <w:lvl w:ilvl="4" w:tplc="FC669DE2">
      <w:numFmt w:val="decimal"/>
      <w:lvlText w:val=""/>
      <w:lvlJc w:val="left"/>
    </w:lvl>
    <w:lvl w:ilvl="5" w:tplc="64101E06">
      <w:numFmt w:val="decimal"/>
      <w:lvlText w:val=""/>
      <w:lvlJc w:val="left"/>
    </w:lvl>
    <w:lvl w:ilvl="6" w:tplc="3F80971A">
      <w:numFmt w:val="decimal"/>
      <w:lvlText w:val=""/>
      <w:lvlJc w:val="left"/>
    </w:lvl>
    <w:lvl w:ilvl="7" w:tplc="2A56AF4C">
      <w:numFmt w:val="decimal"/>
      <w:lvlText w:val=""/>
      <w:lvlJc w:val="left"/>
    </w:lvl>
    <w:lvl w:ilvl="8" w:tplc="A78C4994">
      <w:numFmt w:val="decimal"/>
      <w:lvlText w:val=""/>
      <w:lvlJc w:val="left"/>
    </w:lvl>
  </w:abstractNum>
  <w:abstractNum w:abstractNumId="2" w15:restartNumberingAfterBreak="0">
    <w:nsid w:val="3D1B58BA"/>
    <w:multiLevelType w:val="hybridMultilevel"/>
    <w:tmpl w:val="8FCE3790"/>
    <w:lvl w:ilvl="0" w:tplc="779E4A46">
      <w:start w:val="7"/>
      <w:numFmt w:val="decimal"/>
      <w:lvlText w:val="%1"/>
      <w:lvlJc w:val="left"/>
    </w:lvl>
    <w:lvl w:ilvl="1" w:tplc="C70470B2">
      <w:numFmt w:val="decimal"/>
      <w:lvlText w:val=""/>
      <w:lvlJc w:val="left"/>
    </w:lvl>
    <w:lvl w:ilvl="2" w:tplc="CA0CE48E">
      <w:numFmt w:val="decimal"/>
      <w:lvlText w:val=""/>
      <w:lvlJc w:val="left"/>
    </w:lvl>
    <w:lvl w:ilvl="3" w:tplc="DEB8B3AE">
      <w:numFmt w:val="decimal"/>
      <w:lvlText w:val=""/>
      <w:lvlJc w:val="left"/>
    </w:lvl>
    <w:lvl w:ilvl="4" w:tplc="BBAA099A">
      <w:numFmt w:val="decimal"/>
      <w:lvlText w:val=""/>
      <w:lvlJc w:val="left"/>
    </w:lvl>
    <w:lvl w:ilvl="5" w:tplc="A6D26A04">
      <w:numFmt w:val="decimal"/>
      <w:lvlText w:val=""/>
      <w:lvlJc w:val="left"/>
    </w:lvl>
    <w:lvl w:ilvl="6" w:tplc="86B8A6EE">
      <w:numFmt w:val="decimal"/>
      <w:lvlText w:val=""/>
      <w:lvlJc w:val="left"/>
    </w:lvl>
    <w:lvl w:ilvl="7" w:tplc="AC02403C">
      <w:numFmt w:val="decimal"/>
      <w:lvlText w:val=""/>
      <w:lvlJc w:val="left"/>
    </w:lvl>
    <w:lvl w:ilvl="8" w:tplc="C71AE002">
      <w:numFmt w:val="decimal"/>
      <w:lvlText w:val=""/>
      <w:lvlJc w:val="left"/>
    </w:lvl>
  </w:abstractNum>
  <w:abstractNum w:abstractNumId="3" w15:restartNumberingAfterBreak="0">
    <w:nsid w:val="46E87CCD"/>
    <w:multiLevelType w:val="hybridMultilevel"/>
    <w:tmpl w:val="7D967836"/>
    <w:lvl w:ilvl="0" w:tplc="69CE9EF8">
      <w:start w:val="1"/>
      <w:numFmt w:val="decimal"/>
      <w:lvlText w:val="%1"/>
      <w:lvlJc w:val="left"/>
    </w:lvl>
    <w:lvl w:ilvl="1" w:tplc="FE6400C6">
      <w:numFmt w:val="decimal"/>
      <w:lvlText w:val=""/>
      <w:lvlJc w:val="left"/>
    </w:lvl>
    <w:lvl w:ilvl="2" w:tplc="E8A802E2">
      <w:numFmt w:val="decimal"/>
      <w:lvlText w:val=""/>
      <w:lvlJc w:val="left"/>
    </w:lvl>
    <w:lvl w:ilvl="3" w:tplc="E0FA9294">
      <w:numFmt w:val="decimal"/>
      <w:lvlText w:val=""/>
      <w:lvlJc w:val="left"/>
    </w:lvl>
    <w:lvl w:ilvl="4" w:tplc="BD9A4C24">
      <w:numFmt w:val="decimal"/>
      <w:lvlText w:val=""/>
      <w:lvlJc w:val="left"/>
    </w:lvl>
    <w:lvl w:ilvl="5" w:tplc="653E543A">
      <w:numFmt w:val="decimal"/>
      <w:lvlText w:val=""/>
      <w:lvlJc w:val="left"/>
    </w:lvl>
    <w:lvl w:ilvl="6" w:tplc="9A6EF01E">
      <w:numFmt w:val="decimal"/>
      <w:lvlText w:val=""/>
      <w:lvlJc w:val="left"/>
    </w:lvl>
    <w:lvl w:ilvl="7" w:tplc="4D0C14FE">
      <w:numFmt w:val="decimal"/>
      <w:lvlText w:val=""/>
      <w:lvlJc w:val="left"/>
    </w:lvl>
    <w:lvl w:ilvl="8" w:tplc="D5CA5846">
      <w:numFmt w:val="decimal"/>
      <w:lvlText w:val=""/>
      <w:lvlJc w:val="left"/>
    </w:lvl>
  </w:abstractNum>
  <w:abstractNum w:abstractNumId="4" w15:restartNumberingAfterBreak="0">
    <w:nsid w:val="507ED7AB"/>
    <w:multiLevelType w:val="hybridMultilevel"/>
    <w:tmpl w:val="9692FBBE"/>
    <w:lvl w:ilvl="0" w:tplc="5D7E23FA">
      <w:start w:val="1"/>
      <w:numFmt w:val="decimal"/>
      <w:lvlText w:val="%1"/>
      <w:lvlJc w:val="left"/>
    </w:lvl>
    <w:lvl w:ilvl="1" w:tplc="8D72BC82">
      <w:numFmt w:val="decimal"/>
      <w:lvlText w:val=""/>
      <w:lvlJc w:val="left"/>
    </w:lvl>
    <w:lvl w:ilvl="2" w:tplc="6BA658F4">
      <w:numFmt w:val="decimal"/>
      <w:lvlText w:val=""/>
      <w:lvlJc w:val="left"/>
    </w:lvl>
    <w:lvl w:ilvl="3" w:tplc="12A4646A">
      <w:numFmt w:val="decimal"/>
      <w:lvlText w:val=""/>
      <w:lvlJc w:val="left"/>
    </w:lvl>
    <w:lvl w:ilvl="4" w:tplc="BB0EBC16">
      <w:numFmt w:val="decimal"/>
      <w:lvlText w:val=""/>
      <w:lvlJc w:val="left"/>
    </w:lvl>
    <w:lvl w:ilvl="5" w:tplc="1F8A7344">
      <w:numFmt w:val="decimal"/>
      <w:lvlText w:val=""/>
      <w:lvlJc w:val="left"/>
    </w:lvl>
    <w:lvl w:ilvl="6" w:tplc="8620DEDE">
      <w:numFmt w:val="decimal"/>
      <w:lvlText w:val=""/>
      <w:lvlJc w:val="left"/>
    </w:lvl>
    <w:lvl w:ilvl="7" w:tplc="A1443F2C">
      <w:numFmt w:val="decimal"/>
      <w:lvlText w:val=""/>
      <w:lvlJc w:val="left"/>
    </w:lvl>
    <w:lvl w:ilvl="8" w:tplc="0BFAE984">
      <w:numFmt w:val="decimal"/>
      <w:lvlText w:val=""/>
      <w:lvlJc w:val="left"/>
    </w:lvl>
  </w:abstractNum>
  <w:abstractNum w:abstractNumId="5" w15:restartNumberingAfterBreak="0">
    <w:nsid w:val="5DF13E3A"/>
    <w:multiLevelType w:val="hybridMultilevel"/>
    <w:tmpl w:val="F9EEE4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25558EC"/>
    <w:multiLevelType w:val="hybridMultilevel"/>
    <w:tmpl w:val="133C5A32"/>
    <w:lvl w:ilvl="0" w:tplc="5732B178">
      <w:start w:val="1"/>
      <w:numFmt w:val="bullet"/>
      <w:lvlText w:val=""/>
      <w:lvlJc w:val="left"/>
    </w:lvl>
    <w:lvl w:ilvl="1" w:tplc="D58290D0">
      <w:numFmt w:val="decimal"/>
      <w:lvlText w:val=""/>
      <w:lvlJc w:val="left"/>
    </w:lvl>
    <w:lvl w:ilvl="2" w:tplc="F55C84EA">
      <w:numFmt w:val="decimal"/>
      <w:lvlText w:val=""/>
      <w:lvlJc w:val="left"/>
    </w:lvl>
    <w:lvl w:ilvl="3" w:tplc="889A1DB2">
      <w:numFmt w:val="decimal"/>
      <w:lvlText w:val=""/>
      <w:lvlJc w:val="left"/>
    </w:lvl>
    <w:lvl w:ilvl="4" w:tplc="A8A67500">
      <w:numFmt w:val="decimal"/>
      <w:lvlText w:val=""/>
      <w:lvlJc w:val="left"/>
    </w:lvl>
    <w:lvl w:ilvl="5" w:tplc="DC2E515A">
      <w:numFmt w:val="decimal"/>
      <w:lvlText w:val=""/>
      <w:lvlJc w:val="left"/>
    </w:lvl>
    <w:lvl w:ilvl="6" w:tplc="4EC421C4">
      <w:numFmt w:val="decimal"/>
      <w:lvlText w:val=""/>
      <w:lvlJc w:val="left"/>
    </w:lvl>
    <w:lvl w:ilvl="7" w:tplc="C84C96DA">
      <w:numFmt w:val="decimal"/>
      <w:lvlText w:val=""/>
      <w:lvlJc w:val="left"/>
    </w:lvl>
    <w:lvl w:ilvl="8" w:tplc="B336B104">
      <w:numFmt w:val="decimal"/>
      <w:lvlText w:val=""/>
      <w:lvlJc w:val="left"/>
    </w:lvl>
  </w:abstractNum>
  <w:num w:numId="1" w16cid:durableId="1674186261">
    <w:abstractNumId w:val="1"/>
  </w:num>
  <w:num w:numId="2" w16cid:durableId="388726747">
    <w:abstractNumId w:val="6"/>
  </w:num>
  <w:num w:numId="3" w16cid:durableId="844901000">
    <w:abstractNumId w:val="0"/>
  </w:num>
  <w:num w:numId="4" w16cid:durableId="256787858">
    <w:abstractNumId w:val="3"/>
  </w:num>
  <w:num w:numId="5" w16cid:durableId="2024551743">
    <w:abstractNumId w:val="2"/>
  </w:num>
  <w:num w:numId="6" w16cid:durableId="1503623710">
    <w:abstractNumId w:val="4"/>
  </w:num>
  <w:num w:numId="7" w16cid:durableId="1208221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92"/>
    <w:rsid w:val="00001645"/>
    <w:rsid w:val="00003ACD"/>
    <w:rsid w:val="00007D6B"/>
    <w:rsid w:val="000133BE"/>
    <w:rsid w:val="00015C6D"/>
    <w:rsid w:val="000209A8"/>
    <w:rsid w:val="00023D87"/>
    <w:rsid w:val="00025C70"/>
    <w:rsid w:val="000337F0"/>
    <w:rsid w:val="00036435"/>
    <w:rsid w:val="000417F2"/>
    <w:rsid w:val="000463EA"/>
    <w:rsid w:val="00046908"/>
    <w:rsid w:val="0005168C"/>
    <w:rsid w:val="00052455"/>
    <w:rsid w:val="00056022"/>
    <w:rsid w:val="0006021E"/>
    <w:rsid w:val="00062B44"/>
    <w:rsid w:val="00064B4D"/>
    <w:rsid w:val="00070331"/>
    <w:rsid w:val="000703ED"/>
    <w:rsid w:val="00072BFA"/>
    <w:rsid w:val="00073A8B"/>
    <w:rsid w:val="00075256"/>
    <w:rsid w:val="00075783"/>
    <w:rsid w:val="000852A0"/>
    <w:rsid w:val="000856E8"/>
    <w:rsid w:val="00087B57"/>
    <w:rsid w:val="000916D3"/>
    <w:rsid w:val="00094A40"/>
    <w:rsid w:val="00096743"/>
    <w:rsid w:val="00096975"/>
    <w:rsid w:val="000A01DF"/>
    <w:rsid w:val="000B45C7"/>
    <w:rsid w:val="000B67D8"/>
    <w:rsid w:val="000C05C6"/>
    <w:rsid w:val="000C0FC4"/>
    <w:rsid w:val="000C1A6C"/>
    <w:rsid w:val="000C7B76"/>
    <w:rsid w:val="000D602E"/>
    <w:rsid w:val="000E051C"/>
    <w:rsid w:val="000E080F"/>
    <w:rsid w:val="000E2358"/>
    <w:rsid w:val="000E59F2"/>
    <w:rsid w:val="000F020B"/>
    <w:rsid w:val="000F6A0F"/>
    <w:rsid w:val="00103902"/>
    <w:rsid w:val="00112ADA"/>
    <w:rsid w:val="00121BFA"/>
    <w:rsid w:val="001228F5"/>
    <w:rsid w:val="0012343E"/>
    <w:rsid w:val="001244E3"/>
    <w:rsid w:val="00125F7E"/>
    <w:rsid w:val="00126BA4"/>
    <w:rsid w:val="00131B1A"/>
    <w:rsid w:val="00133303"/>
    <w:rsid w:val="001440CB"/>
    <w:rsid w:val="00145E4B"/>
    <w:rsid w:val="00146187"/>
    <w:rsid w:val="001465C4"/>
    <w:rsid w:val="00146F50"/>
    <w:rsid w:val="00160F5A"/>
    <w:rsid w:val="0016160A"/>
    <w:rsid w:val="00162220"/>
    <w:rsid w:val="00164050"/>
    <w:rsid w:val="00165CDB"/>
    <w:rsid w:val="00167893"/>
    <w:rsid w:val="0017204E"/>
    <w:rsid w:val="00173B8A"/>
    <w:rsid w:val="0018221E"/>
    <w:rsid w:val="001840EF"/>
    <w:rsid w:val="00186738"/>
    <w:rsid w:val="0018730A"/>
    <w:rsid w:val="00190FDF"/>
    <w:rsid w:val="00193A89"/>
    <w:rsid w:val="00194488"/>
    <w:rsid w:val="001A328C"/>
    <w:rsid w:val="001A39E3"/>
    <w:rsid w:val="001A57D0"/>
    <w:rsid w:val="001B0341"/>
    <w:rsid w:val="001B287F"/>
    <w:rsid w:val="001B5AFF"/>
    <w:rsid w:val="001B6512"/>
    <w:rsid w:val="001C1170"/>
    <w:rsid w:val="001C53A4"/>
    <w:rsid w:val="001D6BC1"/>
    <w:rsid w:val="001E06C3"/>
    <w:rsid w:val="001E4B0D"/>
    <w:rsid w:val="001E6AE6"/>
    <w:rsid w:val="001E71CD"/>
    <w:rsid w:val="001F0D97"/>
    <w:rsid w:val="001F3C72"/>
    <w:rsid w:val="001F465B"/>
    <w:rsid w:val="001F6A18"/>
    <w:rsid w:val="001F7E56"/>
    <w:rsid w:val="00200BC5"/>
    <w:rsid w:val="00203700"/>
    <w:rsid w:val="0022167A"/>
    <w:rsid w:val="002236C7"/>
    <w:rsid w:val="002245DA"/>
    <w:rsid w:val="00225AEB"/>
    <w:rsid w:val="002277B3"/>
    <w:rsid w:val="00232A7A"/>
    <w:rsid w:val="00236BB3"/>
    <w:rsid w:val="00237DDB"/>
    <w:rsid w:val="0024090F"/>
    <w:rsid w:val="00240B78"/>
    <w:rsid w:val="00241B35"/>
    <w:rsid w:val="00242874"/>
    <w:rsid w:val="002454AB"/>
    <w:rsid w:val="00250148"/>
    <w:rsid w:val="00251C82"/>
    <w:rsid w:val="00253117"/>
    <w:rsid w:val="00255456"/>
    <w:rsid w:val="00256DC1"/>
    <w:rsid w:val="0026321E"/>
    <w:rsid w:val="00265671"/>
    <w:rsid w:val="00267B12"/>
    <w:rsid w:val="002709AD"/>
    <w:rsid w:val="00275F2C"/>
    <w:rsid w:val="00276325"/>
    <w:rsid w:val="00291723"/>
    <w:rsid w:val="00294126"/>
    <w:rsid w:val="002962D5"/>
    <w:rsid w:val="00296311"/>
    <w:rsid w:val="002A1933"/>
    <w:rsid w:val="002A59F4"/>
    <w:rsid w:val="002A675D"/>
    <w:rsid w:val="002B1518"/>
    <w:rsid w:val="002B2D27"/>
    <w:rsid w:val="002B380E"/>
    <w:rsid w:val="002C35BA"/>
    <w:rsid w:val="002C3D67"/>
    <w:rsid w:val="002C52A7"/>
    <w:rsid w:val="002C59DA"/>
    <w:rsid w:val="002C7FA0"/>
    <w:rsid w:val="002D1BB5"/>
    <w:rsid w:val="002D47BD"/>
    <w:rsid w:val="002D733A"/>
    <w:rsid w:val="002E5254"/>
    <w:rsid w:val="002F45B3"/>
    <w:rsid w:val="002F664C"/>
    <w:rsid w:val="002F69C8"/>
    <w:rsid w:val="00302DBB"/>
    <w:rsid w:val="003057D9"/>
    <w:rsid w:val="00311DB9"/>
    <w:rsid w:val="0031733D"/>
    <w:rsid w:val="00320401"/>
    <w:rsid w:val="00322837"/>
    <w:rsid w:val="003266ED"/>
    <w:rsid w:val="00330407"/>
    <w:rsid w:val="003334F8"/>
    <w:rsid w:val="0033784A"/>
    <w:rsid w:val="00337B8D"/>
    <w:rsid w:val="00342A74"/>
    <w:rsid w:val="00344C49"/>
    <w:rsid w:val="0035284C"/>
    <w:rsid w:val="003535CF"/>
    <w:rsid w:val="003607EB"/>
    <w:rsid w:val="003643E2"/>
    <w:rsid w:val="00371B8E"/>
    <w:rsid w:val="0037279E"/>
    <w:rsid w:val="0037649D"/>
    <w:rsid w:val="00377AFD"/>
    <w:rsid w:val="003808C3"/>
    <w:rsid w:val="003818EB"/>
    <w:rsid w:val="00384E93"/>
    <w:rsid w:val="0038501A"/>
    <w:rsid w:val="003858E1"/>
    <w:rsid w:val="0039555C"/>
    <w:rsid w:val="003A18FF"/>
    <w:rsid w:val="003A1AB0"/>
    <w:rsid w:val="003A2F87"/>
    <w:rsid w:val="003A2FBB"/>
    <w:rsid w:val="003A7B3C"/>
    <w:rsid w:val="003A7E0C"/>
    <w:rsid w:val="003B0789"/>
    <w:rsid w:val="003B1D00"/>
    <w:rsid w:val="003B5291"/>
    <w:rsid w:val="003C705D"/>
    <w:rsid w:val="003C7ABF"/>
    <w:rsid w:val="003D0503"/>
    <w:rsid w:val="003E1916"/>
    <w:rsid w:val="003E3F24"/>
    <w:rsid w:val="003E69F6"/>
    <w:rsid w:val="003E74AF"/>
    <w:rsid w:val="003F1836"/>
    <w:rsid w:val="00401F0B"/>
    <w:rsid w:val="00405FDC"/>
    <w:rsid w:val="00412380"/>
    <w:rsid w:val="00414E29"/>
    <w:rsid w:val="004208E9"/>
    <w:rsid w:val="0042095D"/>
    <w:rsid w:val="00422ACE"/>
    <w:rsid w:val="004268B8"/>
    <w:rsid w:val="00426EBB"/>
    <w:rsid w:val="004341DC"/>
    <w:rsid w:val="0044564F"/>
    <w:rsid w:val="00447600"/>
    <w:rsid w:val="0045039E"/>
    <w:rsid w:val="00450DEE"/>
    <w:rsid w:val="00454971"/>
    <w:rsid w:val="00456354"/>
    <w:rsid w:val="00464B15"/>
    <w:rsid w:val="00475B4B"/>
    <w:rsid w:val="00476124"/>
    <w:rsid w:val="0048170F"/>
    <w:rsid w:val="00483747"/>
    <w:rsid w:val="00483BEC"/>
    <w:rsid w:val="00491126"/>
    <w:rsid w:val="00491440"/>
    <w:rsid w:val="00497E12"/>
    <w:rsid w:val="004A4DD2"/>
    <w:rsid w:val="004A7F6A"/>
    <w:rsid w:val="004B00C9"/>
    <w:rsid w:val="004B2631"/>
    <w:rsid w:val="004B5A26"/>
    <w:rsid w:val="004B7694"/>
    <w:rsid w:val="004C2872"/>
    <w:rsid w:val="004D30EE"/>
    <w:rsid w:val="004E1B99"/>
    <w:rsid w:val="00500C1A"/>
    <w:rsid w:val="005032FB"/>
    <w:rsid w:val="0050660F"/>
    <w:rsid w:val="00510626"/>
    <w:rsid w:val="005146A1"/>
    <w:rsid w:val="0051670A"/>
    <w:rsid w:val="005268DD"/>
    <w:rsid w:val="00536273"/>
    <w:rsid w:val="00540C8B"/>
    <w:rsid w:val="0054301C"/>
    <w:rsid w:val="00543806"/>
    <w:rsid w:val="0055145A"/>
    <w:rsid w:val="00552C1F"/>
    <w:rsid w:val="00561D0B"/>
    <w:rsid w:val="005645E6"/>
    <w:rsid w:val="005672A4"/>
    <w:rsid w:val="005718CA"/>
    <w:rsid w:val="00572806"/>
    <w:rsid w:val="00574A34"/>
    <w:rsid w:val="00574DFE"/>
    <w:rsid w:val="00580D01"/>
    <w:rsid w:val="0058491D"/>
    <w:rsid w:val="00585C91"/>
    <w:rsid w:val="005862B5"/>
    <w:rsid w:val="0058651A"/>
    <w:rsid w:val="0058670A"/>
    <w:rsid w:val="005B3F06"/>
    <w:rsid w:val="005B77E9"/>
    <w:rsid w:val="005C5FE2"/>
    <w:rsid w:val="005D1ED1"/>
    <w:rsid w:val="005D2BAF"/>
    <w:rsid w:val="005D3953"/>
    <w:rsid w:val="005D468E"/>
    <w:rsid w:val="005D6099"/>
    <w:rsid w:val="005E2740"/>
    <w:rsid w:val="005E32BA"/>
    <w:rsid w:val="005E4F8D"/>
    <w:rsid w:val="005F0B6D"/>
    <w:rsid w:val="005F61AB"/>
    <w:rsid w:val="005F78C1"/>
    <w:rsid w:val="0060012C"/>
    <w:rsid w:val="00600AC1"/>
    <w:rsid w:val="00600E41"/>
    <w:rsid w:val="0060458B"/>
    <w:rsid w:val="00604626"/>
    <w:rsid w:val="00605A7F"/>
    <w:rsid w:val="0061030E"/>
    <w:rsid w:val="00610C9E"/>
    <w:rsid w:val="00613857"/>
    <w:rsid w:val="00613E59"/>
    <w:rsid w:val="006210E7"/>
    <w:rsid w:val="00621393"/>
    <w:rsid w:val="006219A8"/>
    <w:rsid w:val="00625E94"/>
    <w:rsid w:val="00630CEA"/>
    <w:rsid w:val="0063349F"/>
    <w:rsid w:val="00634CEE"/>
    <w:rsid w:val="00636345"/>
    <w:rsid w:val="00642D94"/>
    <w:rsid w:val="00643290"/>
    <w:rsid w:val="006447A7"/>
    <w:rsid w:val="00645DB2"/>
    <w:rsid w:val="006546DB"/>
    <w:rsid w:val="0065775C"/>
    <w:rsid w:val="00657D8A"/>
    <w:rsid w:val="006635D6"/>
    <w:rsid w:val="00664321"/>
    <w:rsid w:val="0067425B"/>
    <w:rsid w:val="00674D01"/>
    <w:rsid w:val="006804E1"/>
    <w:rsid w:val="00682790"/>
    <w:rsid w:val="00684332"/>
    <w:rsid w:val="00684B83"/>
    <w:rsid w:val="0069457C"/>
    <w:rsid w:val="00695936"/>
    <w:rsid w:val="00696D8A"/>
    <w:rsid w:val="006A14E5"/>
    <w:rsid w:val="006A2D58"/>
    <w:rsid w:val="006A37CB"/>
    <w:rsid w:val="006B5C18"/>
    <w:rsid w:val="006C3A66"/>
    <w:rsid w:val="006C4228"/>
    <w:rsid w:val="006C4B98"/>
    <w:rsid w:val="006C5C0A"/>
    <w:rsid w:val="006C7898"/>
    <w:rsid w:val="006D1092"/>
    <w:rsid w:val="006D330D"/>
    <w:rsid w:val="006D6007"/>
    <w:rsid w:val="006E44BD"/>
    <w:rsid w:val="006E74D7"/>
    <w:rsid w:val="006F382B"/>
    <w:rsid w:val="006F5C1C"/>
    <w:rsid w:val="006F6FDC"/>
    <w:rsid w:val="007008CA"/>
    <w:rsid w:val="007015C4"/>
    <w:rsid w:val="00702CD2"/>
    <w:rsid w:val="00706858"/>
    <w:rsid w:val="00715532"/>
    <w:rsid w:val="00721F96"/>
    <w:rsid w:val="0072229C"/>
    <w:rsid w:val="00730B49"/>
    <w:rsid w:val="00734615"/>
    <w:rsid w:val="00734AD0"/>
    <w:rsid w:val="007413FD"/>
    <w:rsid w:val="00746B96"/>
    <w:rsid w:val="0074761C"/>
    <w:rsid w:val="00747BF3"/>
    <w:rsid w:val="00751C89"/>
    <w:rsid w:val="007526C4"/>
    <w:rsid w:val="00752941"/>
    <w:rsid w:val="00752E51"/>
    <w:rsid w:val="007556A2"/>
    <w:rsid w:val="00756E4E"/>
    <w:rsid w:val="00757534"/>
    <w:rsid w:val="007575D4"/>
    <w:rsid w:val="0076071E"/>
    <w:rsid w:val="00760F00"/>
    <w:rsid w:val="007725E8"/>
    <w:rsid w:val="007735CA"/>
    <w:rsid w:val="007745DC"/>
    <w:rsid w:val="00776B42"/>
    <w:rsid w:val="007774D8"/>
    <w:rsid w:val="00784CE8"/>
    <w:rsid w:val="007854BF"/>
    <w:rsid w:val="00785612"/>
    <w:rsid w:val="007864C4"/>
    <w:rsid w:val="00787449"/>
    <w:rsid w:val="00791884"/>
    <w:rsid w:val="007A4E5F"/>
    <w:rsid w:val="007A5400"/>
    <w:rsid w:val="007B3024"/>
    <w:rsid w:val="007B3517"/>
    <w:rsid w:val="007B3D81"/>
    <w:rsid w:val="007B4E73"/>
    <w:rsid w:val="007B5AE2"/>
    <w:rsid w:val="007D19F6"/>
    <w:rsid w:val="007D4AB3"/>
    <w:rsid w:val="007D5640"/>
    <w:rsid w:val="007E212C"/>
    <w:rsid w:val="007E3FC8"/>
    <w:rsid w:val="007E5D8E"/>
    <w:rsid w:val="007E6583"/>
    <w:rsid w:val="007F007F"/>
    <w:rsid w:val="007F07E2"/>
    <w:rsid w:val="007F2C9F"/>
    <w:rsid w:val="00803CF1"/>
    <w:rsid w:val="0080451F"/>
    <w:rsid w:val="008113B0"/>
    <w:rsid w:val="0081186F"/>
    <w:rsid w:val="008124C2"/>
    <w:rsid w:val="00817D45"/>
    <w:rsid w:val="00824C06"/>
    <w:rsid w:val="00824ECD"/>
    <w:rsid w:val="00835A6C"/>
    <w:rsid w:val="00835EAC"/>
    <w:rsid w:val="00847487"/>
    <w:rsid w:val="00850820"/>
    <w:rsid w:val="00853D5D"/>
    <w:rsid w:val="008540A9"/>
    <w:rsid w:val="00855572"/>
    <w:rsid w:val="008575AE"/>
    <w:rsid w:val="00861662"/>
    <w:rsid w:val="00863276"/>
    <w:rsid w:val="00863493"/>
    <w:rsid w:val="00866190"/>
    <w:rsid w:val="0086691D"/>
    <w:rsid w:val="0087070F"/>
    <w:rsid w:val="0088054B"/>
    <w:rsid w:val="00895FBB"/>
    <w:rsid w:val="008973C1"/>
    <w:rsid w:val="008A116F"/>
    <w:rsid w:val="008A3184"/>
    <w:rsid w:val="008A3688"/>
    <w:rsid w:val="008A580D"/>
    <w:rsid w:val="008A60EA"/>
    <w:rsid w:val="008B18BC"/>
    <w:rsid w:val="008B3C29"/>
    <w:rsid w:val="008B72E0"/>
    <w:rsid w:val="008C3AED"/>
    <w:rsid w:val="008C537D"/>
    <w:rsid w:val="008E2699"/>
    <w:rsid w:val="008E4789"/>
    <w:rsid w:val="008F19B9"/>
    <w:rsid w:val="008F2969"/>
    <w:rsid w:val="008F4D68"/>
    <w:rsid w:val="00904FF1"/>
    <w:rsid w:val="009067F2"/>
    <w:rsid w:val="00907B94"/>
    <w:rsid w:val="00910077"/>
    <w:rsid w:val="00913BD1"/>
    <w:rsid w:val="00916B53"/>
    <w:rsid w:val="0092041C"/>
    <w:rsid w:val="00927442"/>
    <w:rsid w:val="009276DD"/>
    <w:rsid w:val="0093008B"/>
    <w:rsid w:val="00932C70"/>
    <w:rsid w:val="00943D26"/>
    <w:rsid w:val="00944DB2"/>
    <w:rsid w:val="00950C89"/>
    <w:rsid w:val="0095138B"/>
    <w:rsid w:val="00960F5D"/>
    <w:rsid w:val="00963082"/>
    <w:rsid w:val="00965245"/>
    <w:rsid w:val="00970347"/>
    <w:rsid w:val="0097141F"/>
    <w:rsid w:val="00980438"/>
    <w:rsid w:val="009808FE"/>
    <w:rsid w:val="00982728"/>
    <w:rsid w:val="00983CBC"/>
    <w:rsid w:val="00983F59"/>
    <w:rsid w:val="00984D0F"/>
    <w:rsid w:val="0098554A"/>
    <w:rsid w:val="009937D3"/>
    <w:rsid w:val="00994B0A"/>
    <w:rsid w:val="009958A5"/>
    <w:rsid w:val="00996891"/>
    <w:rsid w:val="009B0016"/>
    <w:rsid w:val="009B59CA"/>
    <w:rsid w:val="009C726E"/>
    <w:rsid w:val="009E3B53"/>
    <w:rsid w:val="009E74EC"/>
    <w:rsid w:val="009F23A9"/>
    <w:rsid w:val="009F5BFA"/>
    <w:rsid w:val="00A05C47"/>
    <w:rsid w:val="00A123E7"/>
    <w:rsid w:val="00A1299C"/>
    <w:rsid w:val="00A24D43"/>
    <w:rsid w:val="00A26AD9"/>
    <w:rsid w:val="00A309F5"/>
    <w:rsid w:val="00A30AB4"/>
    <w:rsid w:val="00A32391"/>
    <w:rsid w:val="00A32A45"/>
    <w:rsid w:val="00A368BB"/>
    <w:rsid w:val="00A370FA"/>
    <w:rsid w:val="00A4205C"/>
    <w:rsid w:val="00A45DAF"/>
    <w:rsid w:val="00A46BE3"/>
    <w:rsid w:val="00A46D91"/>
    <w:rsid w:val="00A5167B"/>
    <w:rsid w:val="00A51B33"/>
    <w:rsid w:val="00A51EE6"/>
    <w:rsid w:val="00A53CDC"/>
    <w:rsid w:val="00A61C34"/>
    <w:rsid w:val="00A77757"/>
    <w:rsid w:val="00A82C17"/>
    <w:rsid w:val="00A83767"/>
    <w:rsid w:val="00A84EFC"/>
    <w:rsid w:val="00A903FF"/>
    <w:rsid w:val="00A92FD4"/>
    <w:rsid w:val="00A968B7"/>
    <w:rsid w:val="00A96F58"/>
    <w:rsid w:val="00A97879"/>
    <w:rsid w:val="00AA0030"/>
    <w:rsid w:val="00AA0809"/>
    <w:rsid w:val="00AA4E09"/>
    <w:rsid w:val="00AB0955"/>
    <w:rsid w:val="00AB403B"/>
    <w:rsid w:val="00AB5365"/>
    <w:rsid w:val="00AC0484"/>
    <w:rsid w:val="00AC1127"/>
    <w:rsid w:val="00AC2638"/>
    <w:rsid w:val="00AC4EF2"/>
    <w:rsid w:val="00AC544D"/>
    <w:rsid w:val="00AD0B7C"/>
    <w:rsid w:val="00AD174F"/>
    <w:rsid w:val="00AD48F7"/>
    <w:rsid w:val="00AD5833"/>
    <w:rsid w:val="00AE45C4"/>
    <w:rsid w:val="00AF28B7"/>
    <w:rsid w:val="00AF2B31"/>
    <w:rsid w:val="00AF566B"/>
    <w:rsid w:val="00AF5A4C"/>
    <w:rsid w:val="00B011D6"/>
    <w:rsid w:val="00B02A14"/>
    <w:rsid w:val="00B0429B"/>
    <w:rsid w:val="00B10815"/>
    <w:rsid w:val="00B17DA0"/>
    <w:rsid w:val="00B211A2"/>
    <w:rsid w:val="00B25370"/>
    <w:rsid w:val="00B26757"/>
    <w:rsid w:val="00B26941"/>
    <w:rsid w:val="00B30305"/>
    <w:rsid w:val="00B32D01"/>
    <w:rsid w:val="00B35525"/>
    <w:rsid w:val="00B3610E"/>
    <w:rsid w:val="00B42B55"/>
    <w:rsid w:val="00B435C1"/>
    <w:rsid w:val="00B44159"/>
    <w:rsid w:val="00B44DF5"/>
    <w:rsid w:val="00B47153"/>
    <w:rsid w:val="00B503B1"/>
    <w:rsid w:val="00B509E9"/>
    <w:rsid w:val="00B5372F"/>
    <w:rsid w:val="00B53C00"/>
    <w:rsid w:val="00B600CE"/>
    <w:rsid w:val="00B63012"/>
    <w:rsid w:val="00B66899"/>
    <w:rsid w:val="00B733A5"/>
    <w:rsid w:val="00B76CD0"/>
    <w:rsid w:val="00B83694"/>
    <w:rsid w:val="00B85BF3"/>
    <w:rsid w:val="00B8624F"/>
    <w:rsid w:val="00B9490D"/>
    <w:rsid w:val="00B9789C"/>
    <w:rsid w:val="00B97EE1"/>
    <w:rsid w:val="00BA059F"/>
    <w:rsid w:val="00BA1035"/>
    <w:rsid w:val="00BA52E0"/>
    <w:rsid w:val="00BB01E0"/>
    <w:rsid w:val="00BB1C8F"/>
    <w:rsid w:val="00BB401E"/>
    <w:rsid w:val="00BC1835"/>
    <w:rsid w:val="00BD19DE"/>
    <w:rsid w:val="00BD4404"/>
    <w:rsid w:val="00BD6886"/>
    <w:rsid w:val="00BE08AB"/>
    <w:rsid w:val="00BE18F1"/>
    <w:rsid w:val="00BF1E82"/>
    <w:rsid w:val="00BF2B2F"/>
    <w:rsid w:val="00BF38F5"/>
    <w:rsid w:val="00BF6911"/>
    <w:rsid w:val="00BF7B08"/>
    <w:rsid w:val="00C1157F"/>
    <w:rsid w:val="00C11E1E"/>
    <w:rsid w:val="00C13ECB"/>
    <w:rsid w:val="00C251D8"/>
    <w:rsid w:val="00C27A65"/>
    <w:rsid w:val="00C30A4D"/>
    <w:rsid w:val="00C34D92"/>
    <w:rsid w:val="00C579E9"/>
    <w:rsid w:val="00C610F3"/>
    <w:rsid w:val="00C6714F"/>
    <w:rsid w:val="00C71999"/>
    <w:rsid w:val="00C740C0"/>
    <w:rsid w:val="00C822C6"/>
    <w:rsid w:val="00C83B77"/>
    <w:rsid w:val="00C85C6E"/>
    <w:rsid w:val="00C94AF3"/>
    <w:rsid w:val="00C97439"/>
    <w:rsid w:val="00CA174C"/>
    <w:rsid w:val="00CA2C48"/>
    <w:rsid w:val="00CA55C8"/>
    <w:rsid w:val="00CA7589"/>
    <w:rsid w:val="00CA7A92"/>
    <w:rsid w:val="00CB01A2"/>
    <w:rsid w:val="00CB2E33"/>
    <w:rsid w:val="00CB5621"/>
    <w:rsid w:val="00CC5E80"/>
    <w:rsid w:val="00CC6154"/>
    <w:rsid w:val="00CC7E00"/>
    <w:rsid w:val="00CD09BC"/>
    <w:rsid w:val="00CD1654"/>
    <w:rsid w:val="00CE0F81"/>
    <w:rsid w:val="00CE511F"/>
    <w:rsid w:val="00CE71C2"/>
    <w:rsid w:val="00CF13A4"/>
    <w:rsid w:val="00CF2A68"/>
    <w:rsid w:val="00CF33BE"/>
    <w:rsid w:val="00CF70F3"/>
    <w:rsid w:val="00D000D4"/>
    <w:rsid w:val="00D01470"/>
    <w:rsid w:val="00D01E19"/>
    <w:rsid w:val="00D01FAE"/>
    <w:rsid w:val="00D04610"/>
    <w:rsid w:val="00D06EC5"/>
    <w:rsid w:val="00D14952"/>
    <w:rsid w:val="00D15245"/>
    <w:rsid w:val="00D249C9"/>
    <w:rsid w:val="00D25306"/>
    <w:rsid w:val="00D25D27"/>
    <w:rsid w:val="00D26796"/>
    <w:rsid w:val="00D3202F"/>
    <w:rsid w:val="00D42F53"/>
    <w:rsid w:val="00D5487D"/>
    <w:rsid w:val="00D54C10"/>
    <w:rsid w:val="00D561AF"/>
    <w:rsid w:val="00D614AD"/>
    <w:rsid w:val="00D656D3"/>
    <w:rsid w:val="00D70CD8"/>
    <w:rsid w:val="00D75703"/>
    <w:rsid w:val="00D76146"/>
    <w:rsid w:val="00D76DF8"/>
    <w:rsid w:val="00D8030F"/>
    <w:rsid w:val="00D80392"/>
    <w:rsid w:val="00D84E85"/>
    <w:rsid w:val="00D86C2E"/>
    <w:rsid w:val="00DA06F4"/>
    <w:rsid w:val="00DA4776"/>
    <w:rsid w:val="00DB3498"/>
    <w:rsid w:val="00DB5ADA"/>
    <w:rsid w:val="00DC0BCF"/>
    <w:rsid w:val="00DC46C0"/>
    <w:rsid w:val="00DC4D59"/>
    <w:rsid w:val="00DC5C72"/>
    <w:rsid w:val="00DC7836"/>
    <w:rsid w:val="00DE34C5"/>
    <w:rsid w:val="00DE754E"/>
    <w:rsid w:val="00DE77B4"/>
    <w:rsid w:val="00DF36BB"/>
    <w:rsid w:val="00DF4692"/>
    <w:rsid w:val="00DF4694"/>
    <w:rsid w:val="00DF78A0"/>
    <w:rsid w:val="00E0367C"/>
    <w:rsid w:val="00E104F1"/>
    <w:rsid w:val="00E109BE"/>
    <w:rsid w:val="00E113F9"/>
    <w:rsid w:val="00E11C58"/>
    <w:rsid w:val="00E23BA6"/>
    <w:rsid w:val="00E2443F"/>
    <w:rsid w:val="00E279EF"/>
    <w:rsid w:val="00E323F9"/>
    <w:rsid w:val="00E33B30"/>
    <w:rsid w:val="00E3401F"/>
    <w:rsid w:val="00E342D4"/>
    <w:rsid w:val="00E34E1F"/>
    <w:rsid w:val="00E37C96"/>
    <w:rsid w:val="00E40C18"/>
    <w:rsid w:val="00E50049"/>
    <w:rsid w:val="00E5014D"/>
    <w:rsid w:val="00E53E69"/>
    <w:rsid w:val="00E608E8"/>
    <w:rsid w:val="00E6706D"/>
    <w:rsid w:val="00E70608"/>
    <w:rsid w:val="00E72A93"/>
    <w:rsid w:val="00E75646"/>
    <w:rsid w:val="00E805BF"/>
    <w:rsid w:val="00E8160C"/>
    <w:rsid w:val="00E827D2"/>
    <w:rsid w:val="00E85119"/>
    <w:rsid w:val="00E912FF"/>
    <w:rsid w:val="00E93638"/>
    <w:rsid w:val="00E94ACC"/>
    <w:rsid w:val="00E965B3"/>
    <w:rsid w:val="00EA0816"/>
    <w:rsid w:val="00EA26BD"/>
    <w:rsid w:val="00EA3373"/>
    <w:rsid w:val="00EA460C"/>
    <w:rsid w:val="00EB29AE"/>
    <w:rsid w:val="00EB3F3B"/>
    <w:rsid w:val="00EB57AD"/>
    <w:rsid w:val="00EC35CA"/>
    <w:rsid w:val="00EC4F8D"/>
    <w:rsid w:val="00ED010A"/>
    <w:rsid w:val="00EE4938"/>
    <w:rsid w:val="00EE4C70"/>
    <w:rsid w:val="00EE5551"/>
    <w:rsid w:val="00EF0F8C"/>
    <w:rsid w:val="00EF4CF1"/>
    <w:rsid w:val="00EF5E52"/>
    <w:rsid w:val="00F02286"/>
    <w:rsid w:val="00F04E9A"/>
    <w:rsid w:val="00F053B0"/>
    <w:rsid w:val="00F105FF"/>
    <w:rsid w:val="00F111B9"/>
    <w:rsid w:val="00F1127A"/>
    <w:rsid w:val="00F136E5"/>
    <w:rsid w:val="00F1558E"/>
    <w:rsid w:val="00F15B4F"/>
    <w:rsid w:val="00F17ACD"/>
    <w:rsid w:val="00F2601A"/>
    <w:rsid w:val="00F314B5"/>
    <w:rsid w:val="00F32D4D"/>
    <w:rsid w:val="00F347AD"/>
    <w:rsid w:val="00F43E56"/>
    <w:rsid w:val="00F47CBB"/>
    <w:rsid w:val="00F522D8"/>
    <w:rsid w:val="00F5242D"/>
    <w:rsid w:val="00F636E7"/>
    <w:rsid w:val="00F666B3"/>
    <w:rsid w:val="00F66EC0"/>
    <w:rsid w:val="00F67CCC"/>
    <w:rsid w:val="00F708BE"/>
    <w:rsid w:val="00F77031"/>
    <w:rsid w:val="00F8299D"/>
    <w:rsid w:val="00F8765F"/>
    <w:rsid w:val="00F9154D"/>
    <w:rsid w:val="00F941C4"/>
    <w:rsid w:val="00F94AA8"/>
    <w:rsid w:val="00F95AC4"/>
    <w:rsid w:val="00FA0B62"/>
    <w:rsid w:val="00FA3F71"/>
    <w:rsid w:val="00FB5FF8"/>
    <w:rsid w:val="00FC2688"/>
    <w:rsid w:val="00FC305F"/>
    <w:rsid w:val="00FC3B8F"/>
    <w:rsid w:val="00FC46B0"/>
    <w:rsid w:val="00FD23C3"/>
    <w:rsid w:val="00FE2ADE"/>
    <w:rsid w:val="00FE42A7"/>
    <w:rsid w:val="00FF1B2D"/>
    <w:rsid w:val="00FF490A"/>
    <w:rsid w:val="00FF547F"/>
    <w:rsid w:val="00FF6680"/>
    <w:rsid w:val="00FF75F1"/>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F805"/>
  <w15:docId w15:val="{FC817C62-592A-4364-BE2A-68DA3CF7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91D"/>
    <w:pPr>
      <w:spacing w:before="120" w:after="120" w:line="360" w:lineRule="auto"/>
      <w:ind w:firstLine="720"/>
      <w:jc w:val="both"/>
    </w:pPr>
    <w:rPr>
      <w:sz w:val="24"/>
      <w:lang w:val="pl"/>
    </w:rPr>
  </w:style>
  <w:style w:type="paragraph" w:styleId="Nagwek1">
    <w:name w:val="heading 1"/>
    <w:basedOn w:val="Normalny"/>
    <w:next w:val="Normalny"/>
    <w:link w:val="Nagwek1Znak"/>
    <w:uiPriority w:val="9"/>
    <w:qFormat/>
    <w:rsid w:val="005D2BAF"/>
    <w:pPr>
      <w:keepNext/>
      <w:keepLines/>
      <w:spacing w:before="240" w:after="0" w:line="240" w:lineRule="auto"/>
      <w:ind w:firstLine="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621393"/>
    <w:pPr>
      <w:keepNext/>
      <w:keepLines/>
      <w:spacing w:before="40" w:after="0"/>
      <w:ind w:firstLine="0"/>
      <w:outlineLvl w:val="1"/>
    </w:pPr>
    <w:rPr>
      <w:rFonts w:eastAsiaTheme="majorEastAsia"/>
      <w:b/>
      <w:bCs/>
      <w:sz w:val="26"/>
      <w:szCs w:val="26"/>
    </w:rPr>
  </w:style>
  <w:style w:type="paragraph" w:styleId="Nagwek4">
    <w:name w:val="heading 4"/>
    <w:basedOn w:val="Normalny"/>
    <w:next w:val="Normalny"/>
    <w:link w:val="Nagwek4Znak"/>
    <w:uiPriority w:val="9"/>
    <w:unhideWhenUsed/>
    <w:qFormat/>
    <w:rsid w:val="001039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10390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4D0F"/>
    <w:pPr>
      <w:tabs>
        <w:tab w:val="center" w:pos="4536"/>
        <w:tab w:val="right" w:pos="9072"/>
      </w:tabs>
    </w:pPr>
  </w:style>
  <w:style w:type="character" w:customStyle="1" w:styleId="NagwekZnak">
    <w:name w:val="Nagłówek Znak"/>
    <w:basedOn w:val="Domylnaczcionkaakapitu"/>
    <w:link w:val="Nagwek"/>
    <w:uiPriority w:val="99"/>
    <w:rsid w:val="00984D0F"/>
  </w:style>
  <w:style w:type="paragraph" w:styleId="Stopka">
    <w:name w:val="footer"/>
    <w:basedOn w:val="Normalny"/>
    <w:link w:val="StopkaZnak"/>
    <w:uiPriority w:val="99"/>
    <w:unhideWhenUsed/>
    <w:rsid w:val="00984D0F"/>
    <w:pPr>
      <w:tabs>
        <w:tab w:val="center" w:pos="4536"/>
        <w:tab w:val="right" w:pos="9072"/>
      </w:tabs>
    </w:pPr>
  </w:style>
  <w:style w:type="character" w:customStyle="1" w:styleId="StopkaZnak">
    <w:name w:val="Stopka Znak"/>
    <w:basedOn w:val="Domylnaczcionkaakapitu"/>
    <w:link w:val="Stopka"/>
    <w:uiPriority w:val="99"/>
    <w:rsid w:val="00984D0F"/>
  </w:style>
  <w:style w:type="paragraph" w:styleId="Poprawka">
    <w:name w:val="Revision"/>
    <w:hidden/>
    <w:uiPriority w:val="99"/>
    <w:semiHidden/>
    <w:rsid w:val="00FF490A"/>
  </w:style>
  <w:style w:type="character" w:styleId="Odwoaniedokomentarza">
    <w:name w:val="annotation reference"/>
    <w:basedOn w:val="Domylnaczcionkaakapitu"/>
    <w:uiPriority w:val="99"/>
    <w:semiHidden/>
    <w:unhideWhenUsed/>
    <w:rsid w:val="00186738"/>
    <w:rPr>
      <w:sz w:val="16"/>
      <w:szCs w:val="16"/>
    </w:rPr>
  </w:style>
  <w:style w:type="paragraph" w:styleId="Tekstkomentarza">
    <w:name w:val="annotation text"/>
    <w:basedOn w:val="Normalny"/>
    <w:link w:val="TekstkomentarzaZnak"/>
    <w:uiPriority w:val="99"/>
    <w:unhideWhenUsed/>
    <w:rsid w:val="00186738"/>
    <w:rPr>
      <w:sz w:val="20"/>
      <w:szCs w:val="20"/>
    </w:rPr>
  </w:style>
  <w:style w:type="character" w:customStyle="1" w:styleId="TekstkomentarzaZnak">
    <w:name w:val="Tekst komentarza Znak"/>
    <w:basedOn w:val="Domylnaczcionkaakapitu"/>
    <w:link w:val="Tekstkomentarza"/>
    <w:uiPriority w:val="99"/>
    <w:rsid w:val="00186738"/>
    <w:rPr>
      <w:sz w:val="20"/>
      <w:szCs w:val="20"/>
    </w:rPr>
  </w:style>
  <w:style w:type="paragraph" w:styleId="Tematkomentarza">
    <w:name w:val="annotation subject"/>
    <w:basedOn w:val="Tekstkomentarza"/>
    <w:next w:val="Tekstkomentarza"/>
    <w:link w:val="TematkomentarzaZnak"/>
    <w:uiPriority w:val="99"/>
    <w:semiHidden/>
    <w:unhideWhenUsed/>
    <w:rsid w:val="00186738"/>
    <w:rPr>
      <w:b/>
      <w:bCs/>
    </w:rPr>
  </w:style>
  <w:style w:type="character" w:customStyle="1" w:styleId="TematkomentarzaZnak">
    <w:name w:val="Temat komentarza Znak"/>
    <w:basedOn w:val="TekstkomentarzaZnak"/>
    <w:link w:val="Tematkomentarza"/>
    <w:uiPriority w:val="99"/>
    <w:semiHidden/>
    <w:rsid w:val="00186738"/>
    <w:rPr>
      <w:b/>
      <w:bCs/>
      <w:sz w:val="20"/>
      <w:szCs w:val="20"/>
    </w:rPr>
  </w:style>
  <w:style w:type="character" w:customStyle="1" w:styleId="Nagwek1Znak">
    <w:name w:val="Nagłówek 1 Znak"/>
    <w:basedOn w:val="Domylnaczcionkaakapitu"/>
    <w:link w:val="Nagwek1"/>
    <w:uiPriority w:val="9"/>
    <w:rsid w:val="005D2BAF"/>
    <w:rPr>
      <w:rFonts w:eastAsiaTheme="majorEastAsia" w:cstheme="majorBidi"/>
      <w:b/>
      <w:sz w:val="32"/>
      <w:szCs w:val="32"/>
    </w:rPr>
  </w:style>
  <w:style w:type="paragraph" w:styleId="Bezodstpw">
    <w:name w:val="No Spacing"/>
    <w:uiPriority w:val="1"/>
    <w:qFormat/>
    <w:rsid w:val="007774D8"/>
    <w:pPr>
      <w:ind w:firstLine="720"/>
    </w:pPr>
    <w:rPr>
      <w:sz w:val="24"/>
    </w:rPr>
  </w:style>
  <w:style w:type="paragraph" w:styleId="Akapitzlist">
    <w:name w:val="List Paragraph"/>
    <w:basedOn w:val="Normalny"/>
    <w:uiPriority w:val="34"/>
    <w:qFormat/>
    <w:rsid w:val="00311DB9"/>
    <w:pPr>
      <w:ind w:left="720"/>
      <w:contextualSpacing/>
    </w:pPr>
  </w:style>
  <w:style w:type="paragraph" w:styleId="Tekstprzypisudolnego">
    <w:name w:val="footnote text"/>
    <w:basedOn w:val="Normalny"/>
    <w:link w:val="TekstprzypisudolnegoZnak"/>
    <w:uiPriority w:val="99"/>
    <w:unhideWhenUsed/>
    <w:rsid w:val="00384E93"/>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84E93"/>
    <w:rPr>
      <w:sz w:val="20"/>
      <w:szCs w:val="20"/>
    </w:rPr>
  </w:style>
  <w:style w:type="character" w:styleId="Odwoanieprzypisudolnego">
    <w:name w:val="footnote reference"/>
    <w:basedOn w:val="Domylnaczcionkaakapitu"/>
    <w:uiPriority w:val="99"/>
    <w:semiHidden/>
    <w:unhideWhenUsed/>
    <w:rsid w:val="00384E93"/>
    <w:rPr>
      <w:vertAlign w:val="superscript"/>
    </w:rPr>
  </w:style>
  <w:style w:type="character" w:customStyle="1" w:styleId="l-content-editortext">
    <w:name w:val="l-content-editor__text"/>
    <w:basedOn w:val="Domylnaczcionkaakapitu"/>
    <w:rsid w:val="00F105FF"/>
  </w:style>
  <w:style w:type="table" w:styleId="Siatkatabelijasna">
    <w:name w:val="Grid Table Light"/>
    <w:basedOn w:val="Standardowy"/>
    <w:uiPriority w:val="40"/>
    <w:rsid w:val="00E72A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F2601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01A"/>
    <w:rPr>
      <w:rFonts w:ascii="Segoe UI" w:hAnsi="Segoe UI" w:cs="Segoe UI"/>
      <w:sz w:val="18"/>
      <w:szCs w:val="18"/>
    </w:rPr>
  </w:style>
  <w:style w:type="character" w:styleId="Hipercze">
    <w:name w:val="Hyperlink"/>
    <w:basedOn w:val="Domylnaczcionkaakapitu"/>
    <w:uiPriority w:val="99"/>
    <w:unhideWhenUsed/>
    <w:rsid w:val="00A1299C"/>
    <w:rPr>
      <w:color w:val="0563C1" w:themeColor="hyperlink"/>
      <w:u w:val="single"/>
    </w:rPr>
  </w:style>
  <w:style w:type="character" w:customStyle="1" w:styleId="markedcontent">
    <w:name w:val="markedcontent"/>
    <w:basedOn w:val="Domylnaczcionkaakapitu"/>
    <w:rsid w:val="003A1AB0"/>
  </w:style>
  <w:style w:type="paragraph" w:styleId="Legenda">
    <w:name w:val="caption"/>
    <w:basedOn w:val="Normalny"/>
    <w:next w:val="Normalny"/>
    <w:uiPriority w:val="35"/>
    <w:unhideWhenUsed/>
    <w:qFormat/>
    <w:rsid w:val="00F5242D"/>
    <w:pPr>
      <w:spacing w:before="0" w:after="200" w:line="240" w:lineRule="auto"/>
    </w:pPr>
    <w:rPr>
      <w:i/>
      <w:iCs/>
      <w:color w:val="44546A" w:themeColor="text2"/>
      <w:sz w:val="18"/>
      <w:szCs w:val="18"/>
    </w:rPr>
  </w:style>
  <w:style w:type="character" w:customStyle="1" w:styleId="Nagwek4Znak">
    <w:name w:val="Nagłówek 4 Znak"/>
    <w:basedOn w:val="Domylnaczcionkaakapitu"/>
    <w:link w:val="Nagwek4"/>
    <w:uiPriority w:val="9"/>
    <w:rsid w:val="00103902"/>
    <w:rPr>
      <w:rFonts w:asciiTheme="majorHAnsi" w:eastAsiaTheme="majorEastAsia" w:hAnsiTheme="majorHAnsi" w:cstheme="majorBidi"/>
      <w:i/>
      <w:iCs/>
      <w:color w:val="2F5496" w:themeColor="accent1" w:themeShade="BF"/>
      <w:sz w:val="24"/>
      <w:lang w:val="pl"/>
    </w:rPr>
  </w:style>
  <w:style w:type="character" w:customStyle="1" w:styleId="Nagwek5Znak">
    <w:name w:val="Nagłówek 5 Znak"/>
    <w:basedOn w:val="Domylnaczcionkaakapitu"/>
    <w:link w:val="Nagwek5"/>
    <w:uiPriority w:val="9"/>
    <w:rsid w:val="00103902"/>
    <w:rPr>
      <w:rFonts w:asciiTheme="majorHAnsi" w:eastAsiaTheme="majorEastAsia" w:hAnsiTheme="majorHAnsi" w:cstheme="majorBidi"/>
      <w:color w:val="2F5496" w:themeColor="accent1" w:themeShade="BF"/>
      <w:sz w:val="24"/>
      <w:lang w:val="pl"/>
    </w:rPr>
  </w:style>
  <w:style w:type="paragraph" w:styleId="Tekstpodstawowy">
    <w:name w:val="Body Text"/>
    <w:basedOn w:val="Normalny"/>
    <w:link w:val="TekstpodstawowyZnak"/>
    <w:uiPriority w:val="99"/>
    <w:unhideWhenUsed/>
    <w:rsid w:val="00103902"/>
  </w:style>
  <w:style w:type="character" w:customStyle="1" w:styleId="TekstpodstawowyZnak">
    <w:name w:val="Tekst podstawowy Znak"/>
    <w:basedOn w:val="Domylnaczcionkaakapitu"/>
    <w:link w:val="Tekstpodstawowy"/>
    <w:uiPriority w:val="99"/>
    <w:rsid w:val="00103902"/>
    <w:rPr>
      <w:sz w:val="24"/>
      <w:lang w:val="pl"/>
    </w:rPr>
  </w:style>
  <w:style w:type="paragraph" w:styleId="Tekstpodstawowywcity">
    <w:name w:val="Body Text Indent"/>
    <w:basedOn w:val="Normalny"/>
    <w:link w:val="TekstpodstawowywcityZnak"/>
    <w:uiPriority w:val="99"/>
    <w:unhideWhenUsed/>
    <w:rsid w:val="00103902"/>
    <w:pPr>
      <w:ind w:left="283"/>
    </w:pPr>
  </w:style>
  <w:style w:type="character" w:customStyle="1" w:styleId="TekstpodstawowywcityZnak">
    <w:name w:val="Tekst podstawowy wcięty Znak"/>
    <w:basedOn w:val="Domylnaczcionkaakapitu"/>
    <w:link w:val="Tekstpodstawowywcity"/>
    <w:uiPriority w:val="99"/>
    <w:rsid w:val="00103902"/>
    <w:rPr>
      <w:sz w:val="24"/>
      <w:lang w:val="pl"/>
    </w:rPr>
  </w:style>
  <w:style w:type="paragraph" w:styleId="Tekstpodstawowyzwciciem">
    <w:name w:val="Body Text First Indent"/>
    <w:basedOn w:val="Tekstpodstawowy"/>
    <w:link w:val="TekstpodstawowyzwciciemZnak"/>
    <w:uiPriority w:val="99"/>
    <w:unhideWhenUsed/>
    <w:rsid w:val="00103902"/>
    <w:pPr>
      <w:ind w:firstLine="360"/>
    </w:pPr>
  </w:style>
  <w:style w:type="character" w:customStyle="1" w:styleId="TekstpodstawowyzwciciemZnak">
    <w:name w:val="Tekst podstawowy z wcięciem Znak"/>
    <w:basedOn w:val="TekstpodstawowyZnak"/>
    <w:link w:val="Tekstpodstawowyzwciciem"/>
    <w:uiPriority w:val="99"/>
    <w:rsid w:val="00103902"/>
    <w:rPr>
      <w:sz w:val="24"/>
      <w:lang w:val="pl"/>
    </w:rPr>
  </w:style>
  <w:style w:type="character" w:customStyle="1" w:styleId="Nierozpoznanawzmianka1">
    <w:name w:val="Nierozpoznana wzmianka1"/>
    <w:basedOn w:val="Domylnaczcionkaakapitu"/>
    <w:uiPriority w:val="99"/>
    <w:semiHidden/>
    <w:unhideWhenUsed/>
    <w:rsid w:val="00103902"/>
    <w:rPr>
      <w:color w:val="605E5C"/>
      <w:shd w:val="clear" w:color="auto" w:fill="E1DFDD"/>
    </w:rPr>
  </w:style>
  <w:style w:type="character" w:customStyle="1" w:styleId="Nagwek2Znak">
    <w:name w:val="Nagłówek 2 Znak"/>
    <w:basedOn w:val="Domylnaczcionkaakapitu"/>
    <w:link w:val="Nagwek2"/>
    <w:uiPriority w:val="9"/>
    <w:rsid w:val="00621393"/>
    <w:rPr>
      <w:rFonts w:eastAsiaTheme="majorEastAsia"/>
      <w:b/>
      <w:bCs/>
      <w:sz w:val="26"/>
      <w:szCs w:val="26"/>
      <w:lang w:val="pl"/>
    </w:rPr>
  </w:style>
  <w:style w:type="paragraph" w:styleId="Cytat">
    <w:name w:val="Quote"/>
    <w:basedOn w:val="Normalny"/>
    <w:next w:val="Normalny"/>
    <w:link w:val="CytatZnak"/>
    <w:uiPriority w:val="29"/>
    <w:qFormat/>
    <w:rsid w:val="002C59DA"/>
    <w:pPr>
      <w:spacing w:before="200" w:after="160"/>
      <w:ind w:left="864" w:right="864"/>
      <w:jc w:val="left"/>
    </w:pPr>
    <w:rPr>
      <w:iCs/>
      <w:color w:val="404040" w:themeColor="text1" w:themeTint="BF"/>
      <w:sz w:val="22"/>
    </w:rPr>
  </w:style>
  <w:style w:type="character" w:customStyle="1" w:styleId="CytatZnak">
    <w:name w:val="Cytat Znak"/>
    <w:basedOn w:val="Domylnaczcionkaakapitu"/>
    <w:link w:val="Cytat"/>
    <w:uiPriority w:val="29"/>
    <w:rsid w:val="002C59DA"/>
    <w:rPr>
      <w:iCs/>
      <w:color w:val="404040" w:themeColor="text1" w:themeTint="BF"/>
      <w:lang w:val="pl"/>
    </w:rPr>
  </w:style>
  <w:style w:type="character" w:styleId="Pogrubienie">
    <w:name w:val="Strong"/>
    <w:basedOn w:val="Domylnaczcionkaakapitu"/>
    <w:uiPriority w:val="22"/>
    <w:qFormat/>
    <w:rsid w:val="00420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5432">
      <w:bodyDiv w:val="1"/>
      <w:marLeft w:val="0"/>
      <w:marRight w:val="0"/>
      <w:marTop w:val="0"/>
      <w:marBottom w:val="0"/>
      <w:divBdr>
        <w:top w:val="none" w:sz="0" w:space="0" w:color="auto"/>
        <w:left w:val="none" w:sz="0" w:space="0" w:color="auto"/>
        <w:bottom w:val="none" w:sz="0" w:space="0" w:color="auto"/>
        <w:right w:val="none" w:sz="0" w:space="0" w:color="auto"/>
      </w:divBdr>
    </w:div>
    <w:div w:id="800264377">
      <w:bodyDiv w:val="1"/>
      <w:marLeft w:val="0"/>
      <w:marRight w:val="0"/>
      <w:marTop w:val="0"/>
      <w:marBottom w:val="0"/>
      <w:divBdr>
        <w:top w:val="none" w:sz="0" w:space="0" w:color="auto"/>
        <w:left w:val="none" w:sz="0" w:space="0" w:color="auto"/>
        <w:bottom w:val="none" w:sz="0" w:space="0" w:color="auto"/>
        <w:right w:val="none" w:sz="0" w:space="0" w:color="auto"/>
      </w:divBdr>
    </w:div>
    <w:div w:id="1527282070">
      <w:bodyDiv w:val="1"/>
      <w:marLeft w:val="0"/>
      <w:marRight w:val="0"/>
      <w:marTop w:val="0"/>
      <w:marBottom w:val="0"/>
      <w:divBdr>
        <w:top w:val="none" w:sz="0" w:space="0" w:color="auto"/>
        <w:left w:val="none" w:sz="0" w:space="0" w:color="auto"/>
        <w:bottom w:val="none" w:sz="0" w:space="0" w:color="auto"/>
        <w:right w:val="none" w:sz="0" w:space="0" w:color="auto"/>
      </w:divBdr>
      <w:divsChild>
        <w:div w:id="316543620">
          <w:marLeft w:val="0"/>
          <w:marRight w:val="0"/>
          <w:marTop w:val="0"/>
          <w:marBottom w:val="0"/>
          <w:divBdr>
            <w:top w:val="none" w:sz="0" w:space="0" w:color="auto"/>
            <w:left w:val="none" w:sz="0" w:space="0" w:color="auto"/>
            <w:bottom w:val="none" w:sz="0" w:space="0" w:color="auto"/>
            <w:right w:val="none" w:sz="0" w:space="0" w:color="auto"/>
          </w:divBdr>
          <w:divsChild>
            <w:div w:id="1704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AEEB-727C-4EBB-A9C2-0E0CCCF2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8886</Words>
  <Characters>53318</Characters>
  <Application>Microsoft Office Word</Application>
  <DocSecurity>0</DocSecurity>
  <Lines>444</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Agnieszka Szczepańska-Pączek</cp:lastModifiedBy>
  <cp:revision>2</cp:revision>
  <dcterms:created xsi:type="dcterms:W3CDTF">2022-10-26T11:43:00Z</dcterms:created>
  <dcterms:modified xsi:type="dcterms:W3CDTF">2022-10-26T11:43:00Z</dcterms:modified>
</cp:coreProperties>
</file>