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58E93" w14:textId="77777777" w:rsidR="00240F3A" w:rsidRDefault="00240F3A" w:rsidP="00240F3A">
      <w:pPr>
        <w:spacing w:line="360" w:lineRule="auto"/>
        <w:jc w:val="both"/>
        <w:rPr>
          <w:rFonts w:ascii="Corbel" w:hAnsi="Corbel" w:cs="Times New Roman"/>
          <w:b/>
          <w:bCs/>
          <w:color w:val="0000CC"/>
          <w:sz w:val="24"/>
          <w:szCs w:val="24"/>
        </w:rPr>
      </w:pPr>
      <w:r>
        <w:rPr>
          <w:rFonts w:ascii="Corbel" w:hAnsi="Corbel" w:cs="Arial"/>
          <w:b/>
          <w:bCs/>
          <w:color w:val="0000CC"/>
          <w:sz w:val="24"/>
          <w:szCs w:val="24"/>
          <w:shd w:val="clear" w:color="auto" w:fill="FFFFFF"/>
        </w:rPr>
        <w:t>II Ogólnopolska Przyrodnicza Konferencja Naukowa </w:t>
      </w:r>
      <w:r>
        <w:rPr>
          <w:rStyle w:val="Pogrubienie"/>
          <w:rFonts w:ascii="Corbel" w:hAnsi="Corbel" w:cs="Arial"/>
          <w:b w:val="0"/>
          <w:bCs w:val="0"/>
          <w:color w:val="0000CC"/>
          <w:sz w:val="24"/>
          <w:szCs w:val="24"/>
          <w:bdr w:val="none" w:sz="0" w:space="0" w:color="auto" w:frame="1"/>
          <w:shd w:val="clear" w:color="auto" w:fill="FFFFFF"/>
        </w:rPr>
        <w:t>„</w:t>
      </w:r>
      <w:proofErr w:type="spellStart"/>
      <w:r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>Mater</w:t>
      </w:r>
      <w:proofErr w:type="spellEnd"/>
      <w:r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Pogrubienie"/>
          <w:rFonts w:ascii="Corbel" w:hAnsi="Corbel" w:cs="Arial"/>
          <w:color w:val="0000CC"/>
          <w:sz w:val="24"/>
          <w:szCs w:val="24"/>
          <w:bdr w:val="none" w:sz="0" w:space="0" w:color="auto" w:frame="1"/>
          <w:shd w:val="clear" w:color="auto" w:fill="FFFFFF"/>
        </w:rPr>
        <w:t>naturae</w:t>
      </w:r>
      <w:proofErr w:type="spellEnd"/>
      <w:r>
        <w:rPr>
          <w:rStyle w:val="Pogrubienie"/>
          <w:rFonts w:ascii="Corbel" w:hAnsi="Corbel" w:cs="Arial"/>
          <w:b w:val="0"/>
          <w:bCs w:val="0"/>
          <w:color w:val="0000CC"/>
          <w:sz w:val="24"/>
          <w:szCs w:val="24"/>
          <w:bdr w:val="none" w:sz="0" w:space="0" w:color="auto" w:frame="1"/>
          <w:shd w:val="clear" w:color="auto" w:fill="FFFFFF"/>
        </w:rPr>
        <w:t>”</w:t>
      </w:r>
      <w:r>
        <w:rPr>
          <w:rFonts w:ascii="Corbel" w:hAnsi="Corbel" w:cs="Arial"/>
          <w:b/>
          <w:bCs/>
          <w:color w:val="0000CC"/>
          <w:sz w:val="24"/>
          <w:szCs w:val="24"/>
        </w:rPr>
        <w:br/>
      </w:r>
      <w:r>
        <w:rPr>
          <w:rFonts w:ascii="Corbel" w:hAnsi="Corbel" w:cs="Arial"/>
          <w:b/>
          <w:bCs/>
          <w:color w:val="0000CC"/>
          <w:sz w:val="24"/>
          <w:szCs w:val="24"/>
          <w:shd w:val="clear" w:color="auto" w:fill="FFFFFF"/>
        </w:rPr>
        <w:t>– osiągnięcia, wyzwania i problemy nauk przyrodniczych</w:t>
      </w:r>
      <w:r>
        <w:rPr>
          <w:rFonts w:ascii="Corbel" w:hAnsi="Corbel" w:cs="Arial"/>
          <w:b/>
          <w:bCs/>
          <w:color w:val="0000CC"/>
          <w:sz w:val="24"/>
          <w:szCs w:val="24"/>
        </w:rPr>
        <w:br/>
      </w:r>
      <w:r>
        <w:rPr>
          <w:rFonts w:ascii="Corbel" w:hAnsi="Corbel" w:cs="Arial"/>
          <w:b/>
          <w:bCs/>
          <w:color w:val="0000CC"/>
          <w:sz w:val="24"/>
          <w:szCs w:val="24"/>
          <w:bdr w:val="none" w:sz="0" w:space="0" w:color="auto" w:frame="1"/>
          <w:shd w:val="clear" w:color="auto" w:fill="FFFFFF"/>
        </w:rPr>
        <w:t>11 grudnia 2020 r., Lublin/online</w:t>
      </w:r>
    </w:p>
    <w:p w14:paraId="4F51C56B" w14:textId="77777777" w:rsidR="00AA4533" w:rsidRDefault="00AA4533" w:rsidP="00240F3A">
      <w:pPr>
        <w:spacing w:line="360" w:lineRule="auto"/>
        <w:ind w:firstLine="340"/>
        <w:jc w:val="center"/>
        <w:rPr>
          <w:rFonts w:ascii="Corbel" w:hAnsi="Corbel"/>
          <w:b/>
          <w:bCs/>
          <w:sz w:val="28"/>
          <w:szCs w:val="28"/>
        </w:rPr>
      </w:pPr>
    </w:p>
    <w:p w14:paraId="4D98EBC4" w14:textId="13BCDC07" w:rsidR="00240F3A" w:rsidRPr="00AA4533" w:rsidRDefault="00240F3A" w:rsidP="00240F3A">
      <w:pPr>
        <w:spacing w:line="360" w:lineRule="auto"/>
        <w:ind w:firstLine="340"/>
        <w:jc w:val="center"/>
        <w:rPr>
          <w:rFonts w:ascii="Corbel" w:hAnsi="Corbel"/>
          <w:b/>
          <w:bCs/>
          <w:sz w:val="28"/>
          <w:szCs w:val="28"/>
        </w:rPr>
      </w:pPr>
      <w:r w:rsidRPr="00AA4533">
        <w:rPr>
          <w:rFonts w:ascii="Corbel" w:hAnsi="Corbel"/>
          <w:b/>
          <w:bCs/>
          <w:sz w:val="28"/>
          <w:szCs w:val="28"/>
        </w:rPr>
        <w:t xml:space="preserve">Zjawisko </w:t>
      </w:r>
      <w:proofErr w:type="spellStart"/>
      <w:r w:rsidRPr="00AA4533">
        <w:rPr>
          <w:rFonts w:ascii="Corbel" w:hAnsi="Corbel"/>
          <w:b/>
          <w:bCs/>
          <w:sz w:val="28"/>
          <w:szCs w:val="28"/>
        </w:rPr>
        <w:t>autofluorescencji</w:t>
      </w:r>
      <w:proofErr w:type="spellEnd"/>
      <w:r w:rsidRPr="00AA4533">
        <w:rPr>
          <w:rFonts w:ascii="Corbel" w:hAnsi="Corbel"/>
          <w:b/>
          <w:bCs/>
          <w:sz w:val="28"/>
          <w:szCs w:val="28"/>
        </w:rPr>
        <w:t xml:space="preserve"> i </w:t>
      </w:r>
      <w:proofErr w:type="spellStart"/>
      <w:r w:rsidRPr="00AA4533">
        <w:rPr>
          <w:rFonts w:ascii="Corbel" w:hAnsi="Corbel"/>
          <w:b/>
          <w:bCs/>
          <w:sz w:val="28"/>
          <w:szCs w:val="28"/>
        </w:rPr>
        <w:t>fotouczulacze</w:t>
      </w:r>
      <w:proofErr w:type="spellEnd"/>
      <w:r w:rsidRPr="00AA4533">
        <w:rPr>
          <w:rFonts w:ascii="Corbel" w:hAnsi="Corbel"/>
          <w:b/>
          <w:bCs/>
          <w:sz w:val="28"/>
          <w:szCs w:val="28"/>
        </w:rPr>
        <w:t xml:space="preserve"> w medycynie</w:t>
      </w:r>
    </w:p>
    <w:p w14:paraId="454FAF5D" w14:textId="310F38BB" w:rsidR="00240F3A" w:rsidRDefault="00240F3A" w:rsidP="00240F3A">
      <w:pPr>
        <w:spacing w:after="0"/>
        <w:jc w:val="both"/>
        <w:rPr>
          <w:rFonts w:ascii="Corbel" w:hAnsi="Corbel" w:cs="Times New Roman"/>
          <w:b/>
          <w:bCs/>
          <w:sz w:val="28"/>
          <w:szCs w:val="28"/>
        </w:rPr>
      </w:pPr>
      <w:r>
        <w:rPr>
          <w:rFonts w:ascii="Corbel" w:hAnsi="Corbel" w:cs="Times New Roman"/>
          <w:b/>
          <w:bCs/>
          <w:sz w:val="28"/>
          <w:szCs w:val="28"/>
        </w:rPr>
        <w:t xml:space="preserve">Katarzyna </w:t>
      </w:r>
      <w:proofErr w:type="spellStart"/>
      <w:r>
        <w:rPr>
          <w:rFonts w:ascii="Corbel" w:hAnsi="Corbel" w:cs="Times New Roman"/>
          <w:b/>
          <w:bCs/>
          <w:sz w:val="28"/>
          <w:szCs w:val="28"/>
        </w:rPr>
        <w:t>Koziorowska</w:t>
      </w:r>
      <w:proofErr w:type="spellEnd"/>
    </w:p>
    <w:p w14:paraId="1D0758E1" w14:textId="77777777" w:rsidR="00240F3A" w:rsidRDefault="00240F3A" w:rsidP="00240F3A">
      <w:pPr>
        <w:spacing w:after="0"/>
        <w:jc w:val="both"/>
        <w:rPr>
          <w:rFonts w:ascii="Corbel" w:hAnsi="Corbel" w:cs="Times New Roman"/>
          <w:sz w:val="28"/>
          <w:szCs w:val="28"/>
        </w:rPr>
      </w:pPr>
      <w:proofErr w:type="spellStart"/>
      <w:r>
        <w:rPr>
          <w:rFonts w:ascii="Corbel" w:hAnsi="Corbel" w:cs="Times New Roman"/>
          <w:sz w:val="28"/>
          <w:szCs w:val="28"/>
        </w:rPr>
        <w:t>President</w:t>
      </w:r>
      <w:proofErr w:type="spellEnd"/>
      <w:r>
        <w:rPr>
          <w:rFonts w:ascii="Corbel" w:hAnsi="Corbel" w:cs="Times New Roman"/>
          <w:sz w:val="28"/>
          <w:szCs w:val="28"/>
        </w:rPr>
        <w:t xml:space="preserve"> English </w:t>
      </w:r>
      <w:proofErr w:type="spellStart"/>
      <w:r>
        <w:rPr>
          <w:rFonts w:ascii="Corbel" w:hAnsi="Corbel" w:cs="Times New Roman"/>
          <w:sz w:val="28"/>
          <w:szCs w:val="28"/>
        </w:rPr>
        <w:t>Division</w:t>
      </w:r>
      <w:proofErr w:type="spellEnd"/>
      <w:r>
        <w:rPr>
          <w:rFonts w:ascii="Corbel" w:hAnsi="Corbel" w:cs="Times New Roman"/>
          <w:sz w:val="28"/>
          <w:szCs w:val="28"/>
        </w:rPr>
        <w:t xml:space="preserve"> Science Club, Kolegium Nauk Medycznych, Uniwersytet Rzeszowski</w:t>
      </w:r>
    </w:p>
    <w:p w14:paraId="3DE97E43" w14:textId="77777777" w:rsidR="00240F3A" w:rsidRDefault="00240F3A" w:rsidP="00240F3A">
      <w:pPr>
        <w:spacing w:after="0"/>
        <w:jc w:val="both"/>
        <w:rPr>
          <w:rFonts w:ascii="Corbel" w:hAnsi="Corbel" w:cs="Times New Roman"/>
          <w:sz w:val="28"/>
          <w:szCs w:val="28"/>
        </w:rPr>
      </w:pPr>
    </w:p>
    <w:p w14:paraId="419DB7F7" w14:textId="77777777" w:rsidR="00240F3A" w:rsidRDefault="00240F3A" w:rsidP="00240F3A">
      <w:pPr>
        <w:spacing w:after="0"/>
        <w:jc w:val="both"/>
        <w:rPr>
          <w:rFonts w:ascii="Corbel" w:hAnsi="Corbel" w:cs="Times New Roman"/>
          <w:b/>
          <w:bCs/>
          <w:sz w:val="28"/>
          <w:szCs w:val="28"/>
        </w:rPr>
      </w:pPr>
      <w:r>
        <w:rPr>
          <w:rFonts w:ascii="Corbel" w:hAnsi="Corbel" w:cs="Times New Roman"/>
          <w:b/>
          <w:bCs/>
          <w:sz w:val="28"/>
          <w:szCs w:val="28"/>
        </w:rPr>
        <w:t xml:space="preserve">Dr hab. n. med. David </w:t>
      </w:r>
      <w:proofErr w:type="spellStart"/>
      <w:r>
        <w:rPr>
          <w:rFonts w:ascii="Corbel" w:hAnsi="Corbel" w:cs="Times New Roman"/>
          <w:b/>
          <w:bCs/>
          <w:sz w:val="28"/>
          <w:szCs w:val="28"/>
        </w:rPr>
        <w:t>Aebisher</w:t>
      </w:r>
      <w:proofErr w:type="spellEnd"/>
      <w:r>
        <w:rPr>
          <w:rFonts w:ascii="Corbel" w:hAnsi="Corbel" w:cs="Times New Roman"/>
          <w:b/>
          <w:bCs/>
          <w:sz w:val="28"/>
          <w:szCs w:val="28"/>
        </w:rPr>
        <w:t>, prof. UR</w:t>
      </w:r>
    </w:p>
    <w:p w14:paraId="5AA76096" w14:textId="77777777" w:rsidR="00240F3A" w:rsidRDefault="00240F3A" w:rsidP="00240F3A">
      <w:pPr>
        <w:spacing w:after="0"/>
        <w:jc w:val="both"/>
        <w:rPr>
          <w:rFonts w:ascii="Corbel" w:hAnsi="Corbel" w:cs="Times New Roman"/>
          <w:sz w:val="28"/>
          <w:szCs w:val="28"/>
        </w:rPr>
      </w:pPr>
      <w:proofErr w:type="spellStart"/>
      <w:r>
        <w:rPr>
          <w:rFonts w:ascii="Corbel" w:hAnsi="Corbel" w:cs="Times New Roman"/>
          <w:sz w:val="28"/>
          <w:szCs w:val="28"/>
        </w:rPr>
        <w:t>Scientific</w:t>
      </w:r>
      <w:proofErr w:type="spellEnd"/>
      <w:r>
        <w:rPr>
          <w:rFonts w:ascii="Corbel" w:hAnsi="Corbel" w:cs="Times New Roman"/>
          <w:sz w:val="28"/>
          <w:szCs w:val="28"/>
        </w:rPr>
        <w:t xml:space="preserve"> </w:t>
      </w:r>
      <w:proofErr w:type="spellStart"/>
      <w:r>
        <w:rPr>
          <w:rFonts w:ascii="Corbel" w:hAnsi="Corbel" w:cs="Times New Roman"/>
          <w:sz w:val="28"/>
          <w:szCs w:val="28"/>
        </w:rPr>
        <w:t>Supervisor</w:t>
      </w:r>
      <w:proofErr w:type="spellEnd"/>
      <w:r>
        <w:rPr>
          <w:rFonts w:ascii="Corbel" w:hAnsi="Corbel" w:cs="Times New Roman"/>
          <w:sz w:val="28"/>
          <w:szCs w:val="28"/>
        </w:rPr>
        <w:t xml:space="preserve"> English </w:t>
      </w:r>
      <w:proofErr w:type="spellStart"/>
      <w:r>
        <w:rPr>
          <w:rFonts w:ascii="Corbel" w:hAnsi="Corbel" w:cs="Times New Roman"/>
          <w:sz w:val="28"/>
          <w:szCs w:val="28"/>
        </w:rPr>
        <w:t>Division</w:t>
      </w:r>
      <w:proofErr w:type="spellEnd"/>
      <w:r>
        <w:rPr>
          <w:rFonts w:ascii="Corbel" w:hAnsi="Corbel" w:cs="Times New Roman"/>
          <w:sz w:val="28"/>
          <w:szCs w:val="28"/>
        </w:rPr>
        <w:t xml:space="preserve"> Science Club, Kolegium Nauk Medycznych, Uniwersytet Rzeszowski</w:t>
      </w:r>
    </w:p>
    <w:p w14:paraId="62313CDF" w14:textId="77777777" w:rsidR="00240F3A" w:rsidRDefault="00240F3A" w:rsidP="00240F3A">
      <w:pPr>
        <w:spacing w:after="0"/>
        <w:jc w:val="both"/>
        <w:rPr>
          <w:rFonts w:ascii="Corbel" w:hAnsi="Corbel" w:cs="Times New Roman"/>
          <w:sz w:val="28"/>
          <w:szCs w:val="28"/>
        </w:rPr>
      </w:pPr>
    </w:p>
    <w:p w14:paraId="157342B4" w14:textId="21055D00" w:rsidR="00323303" w:rsidRPr="00972DBB" w:rsidRDefault="00323303" w:rsidP="00B8683A">
      <w:pPr>
        <w:spacing w:line="360" w:lineRule="auto"/>
        <w:jc w:val="both"/>
        <w:rPr>
          <w:rFonts w:ascii="Corbel" w:hAnsi="Corbel"/>
          <w:sz w:val="28"/>
          <w:szCs w:val="28"/>
        </w:rPr>
      </w:pPr>
      <w:r w:rsidRPr="00972DBB">
        <w:rPr>
          <w:rFonts w:ascii="Corbel" w:hAnsi="Corbel"/>
          <w:sz w:val="28"/>
          <w:szCs w:val="28"/>
        </w:rPr>
        <w:t>Dokładne określenie miejsca i zasięgu działania leku skłania nas do poszukiwania coraz to nowych metod diagnostycznych</w:t>
      </w:r>
      <w:r w:rsidR="00621F1B" w:rsidRPr="00972DBB">
        <w:rPr>
          <w:rFonts w:ascii="Corbel" w:hAnsi="Corbel"/>
          <w:sz w:val="28"/>
          <w:szCs w:val="28"/>
        </w:rPr>
        <w:t xml:space="preserve"> w medycynie</w:t>
      </w:r>
      <w:r w:rsidRPr="00972DBB">
        <w:rPr>
          <w:rFonts w:ascii="Corbel" w:hAnsi="Corbel"/>
          <w:sz w:val="28"/>
          <w:szCs w:val="28"/>
        </w:rPr>
        <w:t xml:space="preserve">. Diagnostyka fluorescencyjna ma duży potencjał w tym zakresie. Efekt w postaci naświetlenia tkanek można uzyskać wykorzystując zjawisko </w:t>
      </w:r>
      <w:proofErr w:type="spellStart"/>
      <w:r w:rsidRPr="00972DBB">
        <w:rPr>
          <w:rFonts w:ascii="Corbel" w:hAnsi="Corbel"/>
          <w:sz w:val="28"/>
          <w:szCs w:val="28"/>
        </w:rPr>
        <w:t>autofluorescencji</w:t>
      </w:r>
      <w:proofErr w:type="spellEnd"/>
      <w:r w:rsidRPr="00972DBB">
        <w:rPr>
          <w:rFonts w:ascii="Corbel" w:hAnsi="Corbel"/>
          <w:sz w:val="28"/>
          <w:szCs w:val="28"/>
        </w:rPr>
        <w:t xml:space="preserve">, czy </w:t>
      </w:r>
      <w:r w:rsidRPr="00972DBB">
        <w:rPr>
          <w:rFonts w:ascii="Corbel" w:hAnsi="Corbel"/>
          <w:color w:val="000000"/>
          <w:sz w:val="28"/>
          <w:szCs w:val="28"/>
        </w:rPr>
        <w:t>inaczej nazwanej fluorescencji naturalnej lub pierwotnej, czyli</w:t>
      </w:r>
      <w:r w:rsidRPr="00972DBB">
        <w:rPr>
          <w:rFonts w:ascii="Corbel" w:hAnsi="Corbel"/>
          <w:sz w:val="28"/>
          <w:szCs w:val="28"/>
        </w:rPr>
        <w:t xml:space="preserve"> </w:t>
      </w:r>
      <w:r w:rsidR="00621F1B" w:rsidRPr="00972DBB">
        <w:rPr>
          <w:rFonts w:ascii="Corbel" w:hAnsi="Corbel"/>
          <w:sz w:val="28"/>
          <w:szCs w:val="28"/>
        </w:rPr>
        <w:t xml:space="preserve">uzyskanej </w:t>
      </w:r>
      <w:r w:rsidRPr="00972DBB">
        <w:rPr>
          <w:rFonts w:ascii="Corbel" w:hAnsi="Corbel"/>
          <w:sz w:val="28"/>
          <w:szCs w:val="28"/>
        </w:rPr>
        <w:t xml:space="preserve">przez bezpośrednie naświetlanie tkanki promieniowaniem laserowym. Źródłem </w:t>
      </w:r>
      <w:proofErr w:type="spellStart"/>
      <w:r w:rsidRPr="00972DBB">
        <w:rPr>
          <w:rFonts w:ascii="Corbel" w:hAnsi="Corbel"/>
          <w:sz w:val="28"/>
          <w:szCs w:val="28"/>
        </w:rPr>
        <w:t>autofluorescencji</w:t>
      </w:r>
      <w:proofErr w:type="spellEnd"/>
      <w:r w:rsidRPr="00972DBB">
        <w:rPr>
          <w:rFonts w:ascii="Corbel" w:hAnsi="Corbel"/>
          <w:sz w:val="28"/>
          <w:szCs w:val="28"/>
        </w:rPr>
        <w:t xml:space="preserve"> są naturalnie występujące w komórce substancje </w:t>
      </w:r>
      <w:proofErr w:type="spellStart"/>
      <w:r w:rsidRPr="00972DBB">
        <w:rPr>
          <w:rFonts w:ascii="Corbel" w:hAnsi="Corbel"/>
          <w:sz w:val="28"/>
          <w:szCs w:val="28"/>
        </w:rPr>
        <w:t>fluoroforowe</w:t>
      </w:r>
      <w:proofErr w:type="spellEnd"/>
      <w:r w:rsidRPr="00972DBB">
        <w:rPr>
          <w:rFonts w:ascii="Corbel" w:hAnsi="Corbel"/>
          <w:sz w:val="28"/>
          <w:szCs w:val="28"/>
        </w:rPr>
        <w:t xml:space="preserve">.  W przydatku diagnostyki fotodynamicznej uzyskane widmo stanowi nałożenie </w:t>
      </w:r>
      <w:proofErr w:type="spellStart"/>
      <w:r w:rsidRPr="00972DBB">
        <w:rPr>
          <w:rFonts w:ascii="Corbel" w:hAnsi="Corbel"/>
          <w:sz w:val="28"/>
          <w:szCs w:val="28"/>
        </w:rPr>
        <w:t>autofluorescencji</w:t>
      </w:r>
      <w:proofErr w:type="spellEnd"/>
      <w:r w:rsidRPr="00972DBB">
        <w:rPr>
          <w:rFonts w:ascii="Corbel" w:hAnsi="Corbel"/>
          <w:sz w:val="28"/>
          <w:szCs w:val="28"/>
        </w:rPr>
        <w:t xml:space="preserve"> i fluorescencji egzogennego </w:t>
      </w:r>
      <w:proofErr w:type="spellStart"/>
      <w:r w:rsidRPr="00972DBB">
        <w:rPr>
          <w:rFonts w:ascii="Corbel" w:hAnsi="Corbel"/>
          <w:sz w:val="28"/>
          <w:szCs w:val="28"/>
        </w:rPr>
        <w:t>fotouczulacza</w:t>
      </w:r>
      <w:proofErr w:type="spellEnd"/>
      <w:r w:rsidRPr="00972DBB">
        <w:rPr>
          <w:rFonts w:ascii="Corbel" w:hAnsi="Corbel"/>
          <w:sz w:val="28"/>
          <w:szCs w:val="28"/>
        </w:rPr>
        <w:t>. A</w:t>
      </w:r>
      <w:r w:rsidRPr="00972DBB">
        <w:rPr>
          <w:rFonts w:ascii="Corbel" w:hAnsi="Corbel"/>
          <w:color w:val="000000"/>
          <w:sz w:val="28"/>
          <w:szCs w:val="28"/>
        </w:rPr>
        <w:t xml:space="preserve">naliza widma poprzedzona jest systemowym lub miejscowym podaniem </w:t>
      </w:r>
      <w:proofErr w:type="spellStart"/>
      <w:r w:rsidRPr="00972DBB">
        <w:rPr>
          <w:rFonts w:ascii="Corbel" w:hAnsi="Corbel"/>
          <w:color w:val="000000"/>
          <w:sz w:val="28"/>
          <w:szCs w:val="28"/>
        </w:rPr>
        <w:t>fotouczulacza</w:t>
      </w:r>
      <w:proofErr w:type="spellEnd"/>
      <w:r w:rsidRPr="00972DBB">
        <w:rPr>
          <w:rFonts w:ascii="Corbel" w:hAnsi="Corbel"/>
          <w:color w:val="000000"/>
          <w:sz w:val="28"/>
          <w:szCs w:val="28"/>
        </w:rPr>
        <w:t>. W pracy omówimy b</w:t>
      </w:r>
      <w:r w:rsidRPr="00972DBB">
        <w:rPr>
          <w:rFonts w:ascii="Corbel" w:hAnsi="Corbel"/>
          <w:sz w:val="28"/>
          <w:szCs w:val="28"/>
        </w:rPr>
        <w:t>iofizyczne podstawy reakcji fotodynamicznej.</w:t>
      </w:r>
      <w:r w:rsidR="008B49EB" w:rsidRPr="00972DBB">
        <w:rPr>
          <w:rFonts w:ascii="Corbel" w:hAnsi="Corbel"/>
          <w:sz w:val="28"/>
          <w:szCs w:val="28"/>
        </w:rPr>
        <w:t xml:space="preserve"> </w:t>
      </w:r>
      <w:r w:rsidR="008B49EB" w:rsidRPr="00972DBB">
        <w:rPr>
          <w:rFonts w:ascii="Corbel" w:hAnsi="Corbel" w:cs="Times New Roman"/>
          <w:sz w:val="28"/>
          <w:szCs w:val="28"/>
        </w:rPr>
        <w:t xml:space="preserve">Napromienienie </w:t>
      </w:r>
      <w:proofErr w:type="spellStart"/>
      <w:r w:rsidR="008B49EB" w:rsidRPr="00972DBB">
        <w:rPr>
          <w:rFonts w:ascii="Corbel" w:hAnsi="Corbel"/>
          <w:color w:val="000000"/>
          <w:sz w:val="28"/>
          <w:szCs w:val="28"/>
        </w:rPr>
        <w:t>fotouczulacza</w:t>
      </w:r>
      <w:proofErr w:type="spellEnd"/>
      <w:r w:rsidR="008B49EB" w:rsidRPr="00972DBB">
        <w:rPr>
          <w:rFonts w:ascii="Corbel" w:hAnsi="Corbel" w:cs="Times New Roman"/>
          <w:sz w:val="28"/>
          <w:szCs w:val="28"/>
        </w:rPr>
        <w:t xml:space="preserve"> w obecności tlenu cząsteczkowego może prowadzić do szeregu reakcji fotochemicznych, na skutek przeniesienia energii. Powstałe podczas reakcji fotodynamicznej reaktywne formy tlenu są w stanie indukować apoptozę i/lub martwice docelowej zmiany.</w:t>
      </w:r>
    </w:p>
    <w:p w14:paraId="27515905" w14:textId="76D0EA4E" w:rsidR="00323303" w:rsidRPr="00972DBB" w:rsidRDefault="00323303" w:rsidP="00323303">
      <w:pPr>
        <w:jc w:val="both"/>
        <w:rPr>
          <w:rFonts w:ascii="Corbel" w:hAnsi="Corbel"/>
          <w:sz w:val="28"/>
          <w:szCs w:val="28"/>
        </w:rPr>
      </w:pPr>
    </w:p>
    <w:p w14:paraId="47B9BC34" w14:textId="4D2C6BA6" w:rsidR="00323303" w:rsidRPr="00972DBB" w:rsidRDefault="00323303" w:rsidP="00323303">
      <w:pPr>
        <w:jc w:val="both"/>
        <w:rPr>
          <w:rFonts w:ascii="Corbel" w:hAnsi="Corbel"/>
          <w:sz w:val="28"/>
          <w:szCs w:val="28"/>
        </w:rPr>
      </w:pPr>
      <w:r w:rsidRPr="00972DBB">
        <w:rPr>
          <w:rFonts w:ascii="Corbel" w:hAnsi="Corbel"/>
          <w:noProof/>
          <w:sz w:val="28"/>
          <w:szCs w:val="28"/>
        </w:rPr>
        <w:drawing>
          <wp:inline distT="0" distB="0" distL="0" distR="0" wp14:anchorId="3C2A8BCF" wp14:editId="6A87A778">
            <wp:extent cx="5760720" cy="730250"/>
            <wp:effectExtent l="0" t="0" r="0" b="0"/>
            <wp:docPr id="62" name="Obraz 61">
              <a:extLst xmlns:a="http://schemas.openxmlformats.org/drawingml/2006/main">
                <a:ext uri="{FF2B5EF4-FFF2-40B4-BE49-F238E27FC236}">
                  <a16:creationId xmlns:a16="http://schemas.microsoft.com/office/drawing/2014/main" id="{5E75A0D5-6015-41CA-AD72-B3C974F6E4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Obraz 61">
                      <a:extLst>
                        <a:ext uri="{FF2B5EF4-FFF2-40B4-BE49-F238E27FC236}">
                          <a16:creationId xmlns:a16="http://schemas.microsoft.com/office/drawing/2014/main" id="{5E75A0D5-6015-41CA-AD72-B3C974F6E4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BC26" w14:textId="77777777" w:rsidR="00323303" w:rsidRPr="00972DBB" w:rsidRDefault="00323303" w:rsidP="00C7540C">
      <w:pPr>
        <w:spacing w:line="480" w:lineRule="auto"/>
        <w:jc w:val="both"/>
        <w:rPr>
          <w:rFonts w:ascii="Corbel" w:hAnsi="Corbel"/>
          <w:sz w:val="28"/>
          <w:szCs w:val="28"/>
        </w:rPr>
      </w:pPr>
    </w:p>
    <w:p w14:paraId="484C90AF" w14:textId="69BC2838" w:rsidR="00D3635C" w:rsidRPr="00972DBB" w:rsidRDefault="00C7540C" w:rsidP="00C7540C">
      <w:pPr>
        <w:spacing w:line="480" w:lineRule="auto"/>
        <w:jc w:val="both"/>
        <w:rPr>
          <w:rFonts w:ascii="Corbel" w:hAnsi="Corbel"/>
          <w:sz w:val="28"/>
          <w:szCs w:val="28"/>
        </w:rPr>
      </w:pPr>
      <w:r w:rsidRPr="00972DBB">
        <w:rPr>
          <w:rFonts w:ascii="Corbel" w:hAnsi="Corbel"/>
          <w:sz w:val="28"/>
          <w:szCs w:val="28"/>
        </w:rPr>
        <w:t xml:space="preserve">Ten artykuł stanowi przegląd obecnego podejścia do zastosowania techniki </w:t>
      </w:r>
      <w:proofErr w:type="spellStart"/>
      <w:r w:rsidRPr="00972DBB">
        <w:rPr>
          <w:rFonts w:ascii="Corbel" w:hAnsi="Corbel"/>
          <w:sz w:val="28"/>
          <w:szCs w:val="28"/>
        </w:rPr>
        <w:t>autofluorescencji</w:t>
      </w:r>
      <w:proofErr w:type="spellEnd"/>
      <w:r w:rsidRPr="00972DBB">
        <w:rPr>
          <w:rFonts w:ascii="Corbel" w:hAnsi="Corbel"/>
          <w:sz w:val="28"/>
          <w:szCs w:val="28"/>
        </w:rPr>
        <w:t xml:space="preserve"> i </w:t>
      </w:r>
      <w:proofErr w:type="spellStart"/>
      <w:r w:rsidRPr="00972DBB">
        <w:rPr>
          <w:rFonts w:ascii="Corbel" w:hAnsi="Corbel"/>
          <w:sz w:val="28"/>
          <w:szCs w:val="28"/>
        </w:rPr>
        <w:t>fotouczulaczy</w:t>
      </w:r>
      <w:proofErr w:type="spellEnd"/>
      <w:r w:rsidRPr="00972DBB">
        <w:rPr>
          <w:rFonts w:ascii="Corbel" w:hAnsi="Corbel"/>
          <w:sz w:val="28"/>
          <w:szCs w:val="28"/>
        </w:rPr>
        <w:t xml:space="preserve"> w medycynie.  Przedstawiony zostanie również mechanizm i kliniczne metody stosowania </w:t>
      </w:r>
      <w:r w:rsidR="008B49EB" w:rsidRPr="00972DBB">
        <w:rPr>
          <w:rFonts w:ascii="Corbel" w:hAnsi="Corbel"/>
          <w:sz w:val="28"/>
          <w:szCs w:val="28"/>
        </w:rPr>
        <w:t>reakcji fotodynamicznej</w:t>
      </w:r>
      <w:r w:rsidRPr="00972DBB">
        <w:rPr>
          <w:rFonts w:ascii="Corbel" w:hAnsi="Corbel"/>
          <w:sz w:val="28"/>
          <w:szCs w:val="28"/>
        </w:rPr>
        <w:t>. Omówione zostaną również niedawno opracowane metodologie fotodynamicznego leczenia, które są na etapie eksperymentalnym oraz diagnostyka fotodynamiczna.</w:t>
      </w:r>
    </w:p>
    <w:sectPr w:rsidR="00D3635C" w:rsidRPr="0097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84"/>
    <w:rsid w:val="00240F3A"/>
    <w:rsid w:val="00323303"/>
    <w:rsid w:val="00567D84"/>
    <w:rsid w:val="00621F1B"/>
    <w:rsid w:val="008B49EB"/>
    <w:rsid w:val="00972DBB"/>
    <w:rsid w:val="00AA4533"/>
    <w:rsid w:val="00B8683A"/>
    <w:rsid w:val="00C7540C"/>
    <w:rsid w:val="00D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49AE"/>
  <w15:chartTrackingRefBased/>
  <w15:docId w15:val="{ECDAC515-A7C8-443A-B53A-09D1064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40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dcterms:created xsi:type="dcterms:W3CDTF">2020-11-27T11:53:00Z</dcterms:created>
  <dcterms:modified xsi:type="dcterms:W3CDTF">2020-12-04T06:50:00Z</dcterms:modified>
</cp:coreProperties>
</file>