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08E" w:rsidRPr="00293FEC" w:rsidRDefault="0076308E" w:rsidP="0076308E">
      <w:pPr>
        <w:pStyle w:val="BeisterL114"/>
      </w:pPr>
      <w:bookmarkStart w:id="0" w:name="_Toc10674759"/>
      <w:bookmarkStart w:id="1" w:name="_Toc10675674"/>
      <w:bookmarkStart w:id="2" w:name="_Toc10675829"/>
      <w:bookmarkStart w:id="3" w:name="_Toc10752102"/>
      <w:bookmarkStart w:id="4" w:name="_GoBack"/>
      <w:bookmarkEnd w:id="4"/>
      <w:r w:rsidRPr="00293FEC">
        <w:t>S</w:t>
      </w:r>
      <w:bookmarkEnd w:id="0"/>
      <w:bookmarkEnd w:id="1"/>
      <w:bookmarkEnd w:id="2"/>
      <w:bookmarkEnd w:id="3"/>
      <w:r>
        <w:t>TRESZCZENIE</w:t>
      </w:r>
    </w:p>
    <w:p w:rsidR="0076308E" w:rsidRDefault="0076308E" w:rsidP="0076308E">
      <w:pPr>
        <w:pStyle w:val="Beistertekst"/>
        <w:spacing w:line="240" w:lineRule="auto"/>
      </w:pPr>
      <w:r>
        <w:rPr>
          <w:b/>
        </w:rPr>
        <w:t>Wstęp</w:t>
      </w:r>
      <w:r>
        <w:t>: Nieprawidłowy rozwój strukturalny ośrodkowego układu nerwowego (OUN), uwarunkowany jest czynnikami genetycznymi i para genetycznymi oraz środowiskowymi, przed urodzeniem oraz po urodzeniu, szczególnie w okresie niemowlęcym i wczesnego dzieciństwa. Uszkodzenie mózgu warunkuje zaburzenia funkcji psychomotorycznych, a dzieci z deficytami ruchowymi, wymagają wczesnej diagnozy i wprowadzenia programów usprawniania, zwanych wczesną  interwencją diagnostyczno-leczniczą.</w:t>
      </w:r>
    </w:p>
    <w:p w:rsidR="0076308E" w:rsidRDefault="0076308E" w:rsidP="0076308E">
      <w:pPr>
        <w:pStyle w:val="Beistertekst"/>
        <w:spacing w:line="240" w:lineRule="auto"/>
      </w:pPr>
      <w:r>
        <w:rPr>
          <w:b/>
        </w:rPr>
        <w:t>Cel pracy</w:t>
      </w:r>
      <w:r>
        <w:t>. Celem pracy była charakterystyka anamnestycznych czynników ryzyka w przebiegu ciąży, porodu i okresu noworodkowego i niemowlęcego oraz ich syntetyczna ocena, przy pomocy funkcji diagnostycznej Z</w:t>
      </w:r>
      <w:r>
        <w:rPr>
          <w:vertAlign w:val="subscript"/>
        </w:rPr>
        <w:t>PZCPN</w:t>
      </w:r>
      <w:r>
        <w:t xml:space="preserve"> u nieprawidłowo rozwijających się dzieci od urodzenia w porównaniu do dzieci zdrowych.</w:t>
      </w:r>
      <w:r>
        <w:rPr>
          <w:color w:val="FF0000"/>
        </w:rPr>
        <w:t xml:space="preserve"> </w:t>
      </w:r>
      <w:r>
        <w:t>Wykazanie zależności  funkcji Z</w:t>
      </w:r>
      <w:r>
        <w:rPr>
          <w:vertAlign w:val="subscript"/>
        </w:rPr>
        <w:t>PZCPN</w:t>
      </w:r>
      <w:r>
        <w:t xml:space="preserve"> opisującej poziom zagrożenia ciąża, poród, noworodek, od stopnia zaburzeń ośrodkowej koordynacji nerwowej (ZOKN) oraz od czasu trwania ciąży (CTC). Określenie w pierwszym i w drugim roku życia dynamiki rozwoju fizycznego, psychomotorycznego i emocjonalnego przy pomocy odpowiednich funkcji syntetycznych:</w:t>
      </w:r>
      <w:r>
        <w:rPr>
          <w:color w:val="FF0000"/>
        </w:rPr>
        <w:t xml:space="preserve"> </w:t>
      </w:r>
      <w:r>
        <w:t>Z</w:t>
      </w:r>
      <w:r>
        <w:rPr>
          <w:vertAlign w:val="subscript"/>
        </w:rPr>
        <w:t>PRF</w:t>
      </w:r>
      <w:r>
        <w:t xml:space="preserve"> mierzącej poziom rozwoju fizycznego</w:t>
      </w:r>
      <w:r>
        <w:rPr>
          <w:vertAlign w:val="subscript"/>
        </w:rPr>
        <w:t>,</w:t>
      </w:r>
      <w:r>
        <w:t xml:space="preserve"> Z</w:t>
      </w:r>
      <w:r>
        <w:rPr>
          <w:vertAlign w:val="subscript"/>
        </w:rPr>
        <w:t xml:space="preserve">PRPM </w:t>
      </w:r>
      <w:r>
        <w:t>mierzącej poziom rozwoju psychomotorycznego oraz Z</w:t>
      </w:r>
      <w:r>
        <w:rPr>
          <w:vertAlign w:val="subscript"/>
        </w:rPr>
        <w:t>PIMD</w:t>
      </w:r>
      <w:r>
        <w:t xml:space="preserve"> mierzącej poziom interakcji między matką i  dzieckiem</w:t>
      </w:r>
      <w:r>
        <w:rPr>
          <w:vertAlign w:val="subscript"/>
        </w:rPr>
        <w:t xml:space="preserve">. </w:t>
      </w:r>
      <w:r>
        <w:t xml:space="preserve">                                                                                                                                                    </w:t>
      </w:r>
    </w:p>
    <w:p w:rsidR="0076308E" w:rsidRDefault="0076308E" w:rsidP="0076308E">
      <w:pPr>
        <w:pStyle w:val="Beistertekst"/>
        <w:spacing w:line="240" w:lineRule="auto"/>
      </w:pPr>
      <w:r>
        <w:t xml:space="preserve"> </w:t>
      </w:r>
      <w:r>
        <w:rPr>
          <w:b/>
        </w:rPr>
        <w:t>Materiał i metody</w:t>
      </w:r>
      <w:r>
        <w:t xml:space="preserve">. Badaną grupę stanowiły 104  niemowlęta z problemami rozwojowymi, skierowane przez lekarzy specjalistów do wczesnej interwencji terapeutycznej, które nazwano dziećmi ryzyka. Grupa kontrolna liczyła 51 dzieci zdrowych, nie wymagających usprawniania. Informacje dotyczące czynników ryzyka w przebiegu ciąży, porodu i okresu noworodkowego i niemowlęcego wg Kwestionariusza Badania uzyskano z wywiadu ciążowo-okołoporodowego oraz z dokumentacji medycznej i książeczki zdrowia. Diagnostykę rozwoju fizycznego przeprowadzono na podstawie pomiarów antropometrycznych masy i długości ciała, obwodów głowy i klatki piersiowej w badaniu I </w:t>
      </w:r>
      <w:proofErr w:type="spellStart"/>
      <w:r>
        <w:t>i</w:t>
      </w:r>
      <w:proofErr w:type="spellEnd"/>
      <w:r>
        <w:t xml:space="preserve"> II oraz masy i wysokości ciała w badaniu III i IV, ponadto wyliczono wskaźnik BMI. Dynamikę rozwoju psychomotorycznego testami Monachijskiej Funkcjonalnej Diagnostyki Rozwojowej (MFDR) dwukrotnie w pierwszym roku życia i dwukrotnie w drugim roku życia. Rozwój emocjonalny badano wg Arkusza Obserwacji, opisującego interakcję między matką i dzieckiem. W grupie kontrolnej badania wykonano tylko przed terapią, w badaniu I. W grupie dzieci ryzyka także w 12 </w:t>
      </w:r>
      <w:proofErr w:type="spellStart"/>
      <w:r>
        <w:t>mż</w:t>
      </w:r>
      <w:proofErr w:type="spellEnd"/>
      <w:r>
        <w:t xml:space="preserve"> (badanie II), w 18 </w:t>
      </w:r>
      <w:proofErr w:type="spellStart"/>
      <w:r>
        <w:t>mż</w:t>
      </w:r>
      <w:proofErr w:type="spellEnd"/>
      <w:r>
        <w:t xml:space="preserve"> ( badanie III), w 26 </w:t>
      </w:r>
      <w:proofErr w:type="spellStart"/>
      <w:r>
        <w:t>mż</w:t>
      </w:r>
      <w:proofErr w:type="spellEnd"/>
      <w:r>
        <w:t xml:space="preserve"> (badanie IV). Klasyfikacja niemowląt wg reakcji </w:t>
      </w:r>
      <w:proofErr w:type="spellStart"/>
      <w:r>
        <w:t>ułożeniowych</w:t>
      </w:r>
      <w:proofErr w:type="spellEnd"/>
      <w:r>
        <w:t xml:space="preserve"> </w:t>
      </w:r>
      <w:proofErr w:type="spellStart"/>
      <w:r>
        <w:t>Vojty</w:t>
      </w:r>
      <w:proofErr w:type="spellEnd"/>
      <w:r>
        <w:t xml:space="preserve"> podzieliła grupę badaną na 4 podgrupy według stopnia ZOKN ( najlżejszy, lekki, średniociężki, ciężki), klasyfikacja według czasu trwania ciąży (CTC) na 3 podgrupy: dzieci donoszone (38-42 </w:t>
      </w:r>
      <w:proofErr w:type="spellStart"/>
      <w:r>
        <w:t>Hbd</w:t>
      </w:r>
      <w:proofErr w:type="spellEnd"/>
      <w:r>
        <w:t xml:space="preserve">), wcześniaki później urodzone (34-37 </w:t>
      </w:r>
      <w:proofErr w:type="spellStart"/>
      <w:r>
        <w:t>Hbd</w:t>
      </w:r>
      <w:proofErr w:type="spellEnd"/>
      <w:r>
        <w:t xml:space="preserve">) oraz wcześniaki wcześniej urodzone (poniżej 34 </w:t>
      </w:r>
      <w:proofErr w:type="spellStart"/>
      <w:r>
        <w:t>Hbd</w:t>
      </w:r>
      <w:proofErr w:type="spellEnd"/>
      <w:r>
        <w:t xml:space="preserve">). W pracy zastosowano klasyczne metody statystyki opisowej, do oceny czynników ryzyka, rozwoju fizycznego, psychomotorycznego i emocjonalnego zastosowano metodę matematyczną wg </w:t>
      </w:r>
      <w:proofErr w:type="spellStart"/>
      <w:r>
        <w:t>A.Krefft</w:t>
      </w:r>
      <w:proofErr w:type="spellEnd"/>
      <w:r>
        <w:t xml:space="preserve"> i wyliczono cztery funkcje diagnostyczne : Z</w:t>
      </w:r>
      <w:r>
        <w:rPr>
          <w:vertAlign w:val="subscript"/>
        </w:rPr>
        <w:t>PZCPN</w:t>
      </w:r>
      <w:r>
        <w:t>, Z</w:t>
      </w:r>
      <w:r>
        <w:rPr>
          <w:vertAlign w:val="subscript"/>
        </w:rPr>
        <w:t>PRF</w:t>
      </w:r>
      <w:r>
        <w:t>, Z</w:t>
      </w:r>
      <w:r>
        <w:rPr>
          <w:vertAlign w:val="subscript"/>
        </w:rPr>
        <w:t>PRPM</w:t>
      </w:r>
      <w:r>
        <w:t>, Z</w:t>
      </w:r>
      <w:r>
        <w:rPr>
          <w:vertAlign w:val="subscript"/>
        </w:rPr>
        <w:t>PIMD</w:t>
      </w:r>
      <w:r>
        <w:t>.</w:t>
      </w:r>
    </w:p>
    <w:p w:rsidR="0076308E" w:rsidRDefault="0076308E" w:rsidP="0076308E">
      <w:pPr>
        <w:pStyle w:val="Beistertekst"/>
        <w:spacing w:line="240" w:lineRule="auto"/>
      </w:pPr>
      <w:r>
        <w:rPr>
          <w:rFonts w:eastAsia="Times New Roman"/>
          <w:b/>
          <w:color w:val="333333"/>
          <w:lang w:eastAsia="pl-PL"/>
        </w:rPr>
        <w:t>Wyniki</w:t>
      </w:r>
      <w:r>
        <w:rPr>
          <w:rFonts w:eastAsia="Times New Roman"/>
          <w:color w:val="333333"/>
          <w:lang w:eastAsia="pl-PL"/>
        </w:rPr>
        <w:t xml:space="preserve"> :</w:t>
      </w:r>
      <w:r>
        <w:t xml:space="preserve"> Ocena sytuacji </w:t>
      </w:r>
      <w:proofErr w:type="spellStart"/>
      <w:r>
        <w:t>socjodemograficznej</w:t>
      </w:r>
      <w:proofErr w:type="spellEnd"/>
      <w:r>
        <w:t xml:space="preserve"> wykazała  istotnie niższe wykształcenie ojców  oraz gorsze warunki zamieszkania dzieci ryzyka w porównaniu do dzieci zdrowych.</w:t>
      </w:r>
      <w:r>
        <w:rPr>
          <w:color w:val="FF0000"/>
        </w:rPr>
        <w:t xml:space="preserve"> </w:t>
      </w:r>
      <w:r>
        <w:t xml:space="preserve">Istotny wpływ na poziom zagrożenia rozwoju miały takie czynniki ryzyka, jak: choroby matki w ciąży, ryzyko poronienia, zagrażająca zamartwica, </w:t>
      </w:r>
      <w:proofErr w:type="spellStart"/>
      <w:r>
        <w:t>gestoza</w:t>
      </w:r>
      <w:proofErr w:type="spellEnd"/>
      <w:r>
        <w:t xml:space="preserve">, zaburzenia tętna płodu, okręcenie pępowiną, czas trwania ciąży, sposób zakończenia porodu, przedwczesne odejście wód płodowych i przedwczesne skurcze. W okresie noworodkowym i niemowlęcym: infekcje wewnątrzmaciczne, powikłania oddechowe, hiperbilirubinemia, krwawienia do OUN, słabsza żywotność w skali </w:t>
      </w:r>
      <w:proofErr w:type="spellStart"/>
      <w:r>
        <w:t>Apgar</w:t>
      </w:r>
      <w:proofErr w:type="spellEnd"/>
      <w:r>
        <w:t xml:space="preserve">. Średnio na jedno dziecko w grupie GB przypadały </w:t>
      </w:r>
      <w:r>
        <w:rPr>
          <w:sz w:val="28"/>
          <w:szCs w:val="28"/>
        </w:rPr>
        <w:t>(</w:t>
      </w:r>
      <w:r>
        <w:rPr>
          <w:rFonts w:eastAsia="Times New Roman"/>
          <w:bCs/>
          <w:sz w:val="28"/>
          <w:szCs w:val="28"/>
          <w:lang w:eastAsia="pl-PL"/>
        </w:rPr>
        <w:t xml:space="preserve"> 4,42 ± 2,56)</w:t>
      </w:r>
      <w:r>
        <w:t xml:space="preserve"> </w:t>
      </w:r>
      <w:r>
        <w:lastRenderedPageBreak/>
        <w:t xml:space="preserve">czynniki ryzyka, </w:t>
      </w:r>
      <w:r w:rsidRPr="00812ECD">
        <w:t>w</w:t>
      </w:r>
      <w:r>
        <w:t> </w:t>
      </w:r>
      <w:r w:rsidRPr="00812ECD">
        <w:t>GK</w:t>
      </w:r>
      <w:r>
        <w:t xml:space="preserve"> (</w:t>
      </w:r>
      <w:r>
        <w:rPr>
          <w:rFonts w:eastAsia="Times New Roman"/>
          <w:bCs/>
          <w:lang w:eastAsia="pl-PL"/>
        </w:rPr>
        <w:t xml:space="preserve">0,78 ± 0,92). W podgrupach </w:t>
      </w:r>
      <w:r>
        <w:rPr>
          <w:sz w:val="28"/>
          <w:szCs w:val="28"/>
        </w:rPr>
        <w:t xml:space="preserve"> ZOKN4-3 (odpowiednio </w:t>
      </w:r>
      <w:r>
        <w:rPr>
          <w:rFonts w:eastAsia="Times New Roman"/>
          <w:sz w:val="28"/>
          <w:szCs w:val="28"/>
          <w:lang w:eastAsia="pl-PL"/>
        </w:rPr>
        <w:t>6,63 ± 2,81; 5,10 ± 1,96)</w:t>
      </w:r>
      <w:r>
        <w:rPr>
          <w:rFonts w:eastAsia="Times New Roman"/>
          <w:bCs/>
          <w:sz w:val="28"/>
          <w:szCs w:val="28"/>
          <w:lang w:eastAsia="pl-PL"/>
        </w:rPr>
        <w:t xml:space="preserve">, </w:t>
      </w:r>
      <w:r>
        <w:rPr>
          <w:sz w:val="28"/>
          <w:szCs w:val="28"/>
        </w:rPr>
        <w:t>w podgrupach wcześniaków wcześniej i później urodzonych  (odpowiednio 7,33 ± 2,35 i 4,85 ± 2,40)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u donoszonych  3,36±1,9.</w:t>
      </w:r>
      <w:r>
        <w:t xml:space="preserve"> Wykazano istotny związek między syntetyczną funkcją diagnostyczną Z</w:t>
      </w:r>
      <w:r>
        <w:rPr>
          <w:vertAlign w:val="subscript"/>
        </w:rPr>
        <w:t xml:space="preserve">PZCPN </w:t>
      </w:r>
      <w:r>
        <w:t>opisującą poziom zagrożenia czynnikami ryzyka w przebiegu ciąży, porodu i w okresie noworodkowym</w:t>
      </w:r>
      <w:r>
        <w:rPr>
          <w:rFonts w:eastAsia="Times New Roman"/>
          <w:lang w:eastAsia="pl-PL"/>
        </w:rPr>
        <w:t xml:space="preserve">, a stopniem zaburzeń ośrodkowej koordynacji nerwowej (ZOKN) i czasem trwania ciąży (CTC). </w:t>
      </w:r>
      <w:r>
        <w:t xml:space="preserve">W grupie badanej GB poziom zagrożenia wynosił </w:t>
      </w:r>
      <w:r>
        <w:rPr>
          <w:rFonts w:eastAsia="Times New Roman"/>
          <w:lang w:eastAsia="pl-PL"/>
        </w:rPr>
        <w:t xml:space="preserve"> (Z</w:t>
      </w:r>
      <w:r>
        <w:rPr>
          <w:rFonts w:eastAsia="Times New Roman"/>
          <w:vertAlign w:val="subscript"/>
          <w:lang w:eastAsia="pl-PL"/>
        </w:rPr>
        <w:t>PZCPN</w:t>
      </w:r>
      <w:r>
        <w:rPr>
          <w:rFonts w:eastAsia="Times New Roman"/>
          <w:lang w:eastAsia="pl-PL"/>
        </w:rPr>
        <w:t xml:space="preserve"> = 0,5804), </w:t>
      </w:r>
      <w:r>
        <w:t xml:space="preserve"> w grupie kontrolnej GK </w:t>
      </w:r>
      <w:r>
        <w:rPr>
          <w:rFonts w:eastAsia="Times New Roman"/>
          <w:lang w:eastAsia="pl-PL"/>
        </w:rPr>
        <w:t>(Z</w:t>
      </w:r>
      <w:r>
        <w:rPr>
          <w:rFonts w:eastAsia="Times New Roman"/>
          <w:vertAlign w:val="subscript"/>
          <w:lang w:eastAsia="pl-PL"/>
        </w:rPr>
        <w:t>PZCPN</w:t>
      </w:r>
      <w:r>
        <w:rPr>
          <w:rFonts w:eastAsia="Times New Roman"/>
          <w:lang w:eastAsia="pl-PL"/>
        </w:rPr>
        <w:t xml:space="preserve"> = 0,3022), </w:t>
      </w:r>
      <w:r>
        <w:t>(p ≤0,001). W podgrupach CTC i ZOKN, najwyższe średnie wartości Z</w:t>
      </w:r>
      <w:r>
        <w:rPr>
          <w:vertAlign w:val="subscript"/>
        </w:rPr>
        <w:t>PZCPN</w:t>
      </w:r>
      <w:r>
        <w:t xml:space="preserve"> odnotowano u wcześniaków wcześniej i później urodzonych </w:t>
      </w:r>
      <w:r>
        <w:rPr>
          <w:rFonts w:eastAsia="Times New Roman"/>
          <w:lang w:eastAsia="pl-PL"/>
        </w:rPr>
        <w:t>(odpowiednio Z</w:t>
      </w:r>
      <w:r>
        <w:rPr>
          <w:rFonts w:eastAsia="Times New Roman"/>
          <w:vertAlign w:val="subscript"/>
          <w:lang w:eastAsia="pl-PL"/>
        </w:rPr>
        <w:t>PZCPN</w:t>
      </w:r>
      <w:r>
        <w:rPr>
          <w:rFonts w:eastAsia="Times New Roman"/>
          <w:lang w:eastAsia="pl-PL"/>
        </w:rPr>
        <w:t> = 0,8523 i Z</w:t>
      </w:r>
      <w:r>
        <w:rPr>
          <w:rFonts w:eastAsia="Times New Roman"/>
          <w:vertAlign w:val="subscript"/>
          <w:lang w:eastAsia="pl-PL"/>
        </w:rPr>
        <w:t>PZCPN</w:t>
      </w:r>
      <w:r>
        <w:rPr>
          <w:rFonts w:eastAsia="Times New Roman"/>
          <w:lang w:eastAsia="pl-PL"/>
        </w:rPr>
        <w:t xml:space="preserve"> = 0,6759) </w:t>
      </w:r>
      <w:r>
        <w:t xml:space="preserve">oraz u niemowląt z ZOKN4 i ZOKN3 </w:t>
      </w:r>
      <w:r>
        <w:rPr>
          <w:rFonts w:eastAsia="Times New Roman"/>
          <w:lang w:eastAsia="pl-PL"/>
        </w:rPr>
        <w:t>(odpowiednio Z</w:t>
      </w:r>
      <w:r>
        <w:rPr>
          <w:rFonts w:eastAsia="Times New Roman"/>
          <w:vertAlign w:val="subscript"/>
          <w:lang w:eastAsia="pl-PL"/>
        </w:rPr>
        <w:t>PZCPN</w:t>
      </w:r>
      <w:r>
        <w:rPr>
          <w:rFonts w:eastAsia="Times New Roman"/>
          <w:lang w:eastAsia="pl-PL"/>
        </w:rPr>
        <w:t> = 0,7277 i Z</w:t>
      </w:r>
      <w:r>
        <w:rPr>
          <w:rFonts w:eastAsia="Times New Roman"/>
          <w:vertAlign w:val="subscript"/>
          <w:lang w:eastAsia="pl-PL"/>
        </w:rPr>
        <w:t>PZCPN</w:t>
      </w:r>
      <w:r>
        <w:rPr>
          <w:rFonts w:eastAsia="Times New Roman"/>
          <w:lang w:eastAsia="pl-PL"/>
        </w:rPr>
        <w:t> = 0,618)</w:t>
      </w:r>
      <w:r>
        <w:t>. Stwierdzono, że, im wyższy stopień ZOKN i im krótszy czas trwania ciąży (CTC), tym wyższa wartość funkcji Z</w:t>
      </w:r>
      <w:r>
        <w:rPr>
          <w:vertAlign w:val="subscript"/>
        </w:rPr>
        <w:t>PZCPN</w:t>
      </w:r>
      <w:r>
        <w:t xml:space="preserve"> (najwyższa w grupie wcześniaków urodzonych poniżej 34 </w:t>
      </w:r>
      <w:proofErr w:type="spellStart"/>
      <w:r>
        <w:t>Hbd</w:t>
      </w:r>
      <w:proofErr w:type="spellEnd"/>
      <w:r>
        <w:t xml:space="preserve">). </w:t>
      </w:r>
      <w:r>
        <w:rPr>
          <w:rFonts w:eastAsia="Calibri"/>
          <w:kern w:val="3"/>
        </w:rPr>
        <w:t xml:space="preserve">Ponieważ czynniki ryzyka nie wpływają w takim samym stopniu na poziom zagrożenia patologią zastosowano nowatorską metodą </w:t>
      </w:r>
      <w:proofErr w:type="spellStart"/>
      <w:r>
        <w:rPr>
          <w:rFonts w:eastAsia="Calibri"/>
          <w:kern w:val="3"/>
        </w:rPr>
        <w:t>A.Krefft</w:t>
      </w:r>
      <w:proofErr w:type="spellEnd"/>
      <w:r>
        <w:rPr>
          <w:rFonts w:eastAsia="Calibri"/>
          <w:kern w:val="3"/>
        </w:rPr>
        <w:t xml:space="preserve"> i dokonano łączenia wybranych czynników, aby określić estymatory wag. Największą wagę ustalono dla: skrócenia czasu trwania ciąży, pomiarów antropometrycznych, żywotności noworodka w skali </w:t>
      </w:r>
      <w:proofErr w:type="spellStart"/>
      <w:r>
        <w:rPr>
          <w:rFonts w:eastAsia="Calibri"/>
          <w:kern w:val="3"/>
        </w:rPr>
        <w:t>Apgar</w:t>
      </w:r>
      <w:proofErr w:type="spellEnd"/>
      <w:r>
        <w:rPr>
          <w:rFonts w:eastAsia="Calibri"/>
          <w:kern w:val="3"/>
        </w:rPr>
        <w:t xml:space="preserve">, patologii noworodka, patologii struktury narządów, ryzyka poronienia, patologii łożyska i wód płodowych, patologii późnej krwi, patologii porodu i patologii ciąży. </w:t>
      </w:r>
      <w:r>
        <w:rPr>
          <w:rFonts w:eastAsia="Calibri"/>
          <w:kern w:val="3"/>
          <w:lang w:eastAsia="pl-PL"/>
        </w:rPr>
        <w:t xml:space="preserve">W zakresie rozwoju fizycznego wykazano, że noworodki ryzyka  miały mniejsze wymiary ciała, </w:t>
      </w:r>
      <w:r>
        <w:rPr>
          <w:color w:val="FF0000"/>
        </w:rPr>
        <w:t xml:space="preserve"> </w:t>
      </w:r>
      <w:r>
        <w:t xml:space="preserve">były lżejsze 655 gramów, krótsze o 4 cm, z mniejszymi obwodami głowy o 1,7 cm i </w:t>
      </w:r>
      <w:proofErr w:type="spellStart"/>
      <w:r>
        <w:t>kl.piersiowej</w:t>
      </w:r>
      <w:proofErr w:type="spellEnd"/>
      <w:r>
        <w:t xml:space="preserve"> o 2,6 cm w porównaniu do dzieci zdrowych z GK. Pomiary </w:t>
      </w:r>
      <w:proofErr w:type="spellStart"/>
      <w:r>
        <w:t>somatometryczne</w:t>
      </w:r>
      <w:proofErr w:type="spellEnd"/>
      <w:r>
        <w:t xml:space="preserve"> istotnie częściej (10%), znajdują się poniżej 10 </w:t>
      </w:r>
      <w:proofErr w:type="spellStart"/>
      <w:r>
        <w:t>centyla</w:t>
      </w:r>
      <w:proofErr w:type="spellEnd"/>
      <w:r>
        <w:t xml:space="preserve">, rzadziej powyżej 90 </w:t>
      </w:r>
      <w:proofErr w:type="spellStart"/>
      <w:r>
        <w:t>centyla</w:t>
      </w:r>
      <w:proofErr w:type="spellEnd"/>
      <w:r>
        <w:t xml:space="preserve"> (p≤ 0,001). Obserwacja rozwoju fizycznego dziewczynek i chłopców ryzyka w kolejnych czterech badaniach, mieściła się w zakresie szerokiej normy, przy czym chłopcy byli istotnie ciężsi i wyżsi niż dziewczynki we wszystkich badaniach. Obserwacja rozwoju psychomotorycznego  u dzieci ryzyka przed terapią wykazała, istotnie niższy poziom we wszystkich umiejętnościach, większe opóźnienia odnotowano w sferach  motorycznych niż poznawczych. Po półrocznej terapii dzieci osiągnęły poziom powyżej 93-95% normy, z wyjątkiem wieku chodzenia. Niewielkie opóźnienia w rozwoju (do 10%) wykazano w badaniu w III i IV u dzieci z ciężkimi zaburzeniami oraz u wcześniaków urodzonych poniżej 34Hbd w wieku chodzenia, mówienia i samodzielności. Dzięki metodzie Kreft możliwe było określenie estymatorów (wag) poszczególnych cech diagnostycznych opisujących poziom rozwoju psychomotorycznego Z</w:t>
      </w:r>
      <w:r>
        <w:rPr>
          <w:vertAlign w:val="subscript"/>
        </w:rPr>
        <w:t xml:space="preserve">PRPM </w:t>
      </w:r>
      <w:r>
        <w:t>u dzieci ryzyka. I tak cechy takie jak: wiek chwytania, siadania, chodzenia miały największy wpływ na poziom rozwoju psychomotorycznego w</w:t>
      </w:r>
      <w:r>
        <w:rPr>
          <w:vertAlign w:val="subscript"/>
        </w:rPr>
        <w:t xml:space="preserve">  </w:t>
      </w:r>
      <w:r>
        <w:t xml:space="preserve"> pierwszym roku życia (Z</w:t>
      </w:r>
      <w:r>
        <w:rPr>
          <w:vertAlign w:val="subscript"/>
        </w:rPr>
        <w:t>PRPM1</w:t>
      </w:r>
      <w:r>
        <w:t>), zaś w drugim roku w modelu Z</w:t>
      </w:r>
      <w:r>
        <w:rPr>
          <w:vertAlign w:val="subscript"/>
        </w:rPr>
        <w:t>PRPM2</w:t>
      </w:r>
      <w:r>
        <w:t xml:space="preserve"> -wiek społeczny oraz zakres samodzielności. Rozwój </w:t>
      </w:r>
      <w:proofErr w:type="spellStart"/>
      <w:r>
        <w:t>psychoemocjonalny</w:t>
      </w:r>
      <w:proofErr w:type="spellEnd"/>
      <w:r>
        <w:t xml:space="preserve"> mierzony przy pomocy syntetycznej funkcji diagnostycznej Z</w:t>
      </w:r>
      <w:r>
        <w:rPr>
          <w:vertAlign w:val="subscript"/>
        </w:rPr>
        <w:t xml:space="preserve">PIMD </w:t>
      </w:r>
      <w:r>
        <w:rPr>
          <w:color w:val="FF0000"/>
        </w:rPr>
        <w:t xml:space="preserve"> </w:t>
      </w:r>
      <w:r>
        <w:t>opisującej poziom interakcji w grupie dzieci ryzyka przed terapią, jest istotnie niższy w porównaniu z grupą dzieci zdrowych (GK), ale nie wykazano  różnic istotnych statystycznie w podgrupach ZOKN i CTC.  W podgrupach ZOKN i CTC obserwuje się wyższe średnie wartości Z</w:t>
      </w:r>
      <w:r>
        <w:rPr>
          <w:vertAlign w:val="subscript"/>
        </w:rPr>
        <w:t>PIMD</w:t>
      </w:r>
      <w:r>
        <w:t>, ale różnice nie są istotne statystycznie. W kolejnych badaniach obserwujemy poprawę i wzrost średnich wartości Z</w:t>
      </w:r>
      <w:r>
        <w:rPr>
          <w:vertAlign w:val="subscript"/>
        </w:rPr>
        <w:t>PIMD</w:t>
      </w:r>
      <w:r>
        <w:t xml:space="preserve"> równolegle z poprawą rozwoju somatycznego i psychomotorycznego, większą dynamikę interakcji między matką i dzieckiem odnotowano w badaniu I, II, III niż w badaniu IV. </w:t>
      </w:r>
    </w:p>
    <w:p w:rsidR="0076308E" w:rsidRPr="00293FEC" w:rsidRDefault="0076308E" w:rsidP="0076308E">
      <w:pPr>
        <w:spacing w:after="200" w:line="240" w:lineRule="auto"/>
        <w:rPr>
          <w:rFonts w:ascii="Times New Roman" w:hAnsi="Times New Roman" w:cs="Times New Roman"/>
          <w:b/>
          <w:sz w:val="24"/>
        </w:rPr>
      </w:pPr>
      <w:r>
        <w:rPr>
          <w:b/>
        </w:rPr>
        <w:t xml:space="preserve">Wnioski: </w:t>
      </w:r>
    </w:p>
    <w:p w:rsidR="0076308E" w:rsidRDefault="0076308E" w:rsidP="0076308E">
      <w:pPr>
        <w:pStyle w:val="Beistertekst"/>
        <w:numPr>
          <w:ilvl w:val="0"/>
          <w:numId w:val="1"/>
        </w:numPr>
        <w:spacing w:line="240" w:lineRule="auto"/>
        <w:rPr>
          <w:b/>
          <w:color w:val="FF0000"/>
        </w:rPr>
      </w:pPr>
      <w:r>
        <w:t>Występowanie czynników ryzyka, warunkuje stan zagrożenia nieprawidłowym rozwojem. Sumarycznie na jedno dziecko ryzyka przypadają 4 czynniki szkodliwe- pięciokrotnie więcej niż w grupie kontrolnej, w podgrupach ZOKN  i CTC po siedem czynników patologicznych.</w:t>
      </w:r>
    </w:p>
    <w:p w:rsidR="0076308E" w:rsidRDefault="0076308E" w:rsidP="0076308E">
      <w:pPr>
        <w:pStyle w:val="Beistertekst"/>
        <w:numPr>
          <w:ilvl w:val="0"/>
          <w:numId w:val="1"/>
        </w:numPr>
        <w:spacing w:line="240" w:lineRule="auto"/>
        <w:rPr>
          <w:b/>
        </w:rPr>
      </w:pPr>
      <w:r>
        <w:lastRenderedPageBreak/>
        <w:t>Poziom zagrożenia czynnikami ryzyka mierzony syntetyczną funkcją diagnostyczną Z</w:t>
      </w:r>
      <w:r>
        <w:rPr>
          <w:vertAlign w:val="subscript"/>
        </w:rPr>
        <w:t xml:space="preserve">PZCPN </w:t>
      </w:r>
      <w:r>
        <w:t>jest</w:t>
      </w:r>
      <w:r>
        <w:rPr>
          <w:vertAlign w:val="subscript"/>
        </w:rPr>
        <w:t xml:space="preserve"> </w:t>
      </w:r>
      <w:r>
        <w:t>istotnie wyższy u dzieci ryzyka, niż dzieci zdrowych, co więcej zależy od</w:t>
      </w:r>
      <w:r>
        <w:rPr>
          <w:vertAlign w:val="subscript"/>
        </w:rPr>
        <w:t> </w:t>
      </w:r>
      <w:r>
        <w:t>stopienia zaburzeń ośrodkowej koordynacji nerwowej ZOKN i czasu trwania ciąży (CTC), bowiem im wyższy stopień ZOKN i krótszy czas trwania ciąży (CTC),  wyższa wartość Z</w:t>
      </w:r>
      <w:r>
        <w:rPr>
          <w:vertAlign w:val="subscript"/>
        </w:rPr>
        <w:t>PZCPN</w:t>
      </w:r>
    </w:p>
    <w:p w:rsidR="0076308E" w:rsidRDefault="0076308E" w:rsidP="0076308E">
      <w:pPr>
        <w:pStyle w:val="Beistertekst"/>
        <w:numPr>
          <w:ilvl w:val="0"/>
          <w:numId w:val="1"/>
        </w:numPr>
        <w:spacing w:line="240" w:lineRule="auto"/>
      </w:pPr>
      <w:r>
        <w:rPr>
          <w:rFonts w:eastAsia="Calibri"/>
          <w:kern w:val="3"/>
          <w:lang w:eastAsia="pl-PL"/>
        </w:rPr>
        <w:t>Noworodki ryzyka  miały mniejsze wymiary ciała, były lżejsze i krótsze, z mniejszymi obwodami głowy i klatki piersiowej w porównaniu do dzieci zdrowych</w:t>
      </w:r>
      <w:r>
        <w:t xml:space="preserve">. </w:t>
      </w:r>
    </w:p>
    <w:p w:rsidR="0076308E" w:rsidRDefault="0076308E" w:rsidP="0076308E">
      <w:pPr>
        <w:pStyle w:val="Beistertekst"/>
        <w:numPr>
          <w:ilvl w:val="0"/>
          <w:numId w:val="1"/>
        </w:numPr>
        <w:spacing w:line="240" w:lineRule="auto"/>
      </w:pPr>
      <w:r>
        <w:t xml:space="preserve">Pomiary </w:t>
      </w:r>
      <w:proofErr w:type="spellStart"/>
      <w:r>
        <w:t>somatometryczne</w:t>
      </w:r>
      <w:proofErr w:type="spellEnd"/>
      <w:r>
        <w:t xml:space="preserve"> masy, długości ciała, obwodów głowy i klatki piersiowej istotnie częściej (10%), znajdują się poniżej 10 </w:t>
      </w:r>
      <w:proofErr w:type="spellStart"/>
      <w:r>
        <w:t>centyla</w:t>
      </w:r>
      <w:proofErr w:type="spellEnd"/>
      <w:r>
        <w:t xml:space="preserve">, rzadziej powyżej 90 </w:t>
      </w:r>
      <w:proofErr w:type="spellStart"/>
      <w:r>
        <w:t>centyla</w:t>
      </w:r>
      <w:proofErr w:type="spellEnd"/>
      <w:r>
        <w:t>.</w:t>
      </w:r>
    </w:p>
    <w:p w:rsidR="0076308E" w:rsidRDefault="0076308E" w:rsidP="0076308E">
      <w:pPr>
        <w:pStyle w:val="Beistertekst"/>
        <w:numPr>
          <w:ilvl w:val="0"/>
          <w:numId w:val="1"/>
        </w:numPr>
        <w:spacing w:line="240" w:lineRule="auto"/>
      </w:pPr>
      <w:r>
        <w:t xml:space="preserve">Dynamika rozwoju fizycznego monitorowana w czterech badaniach wykazała istotne zróżnicowanie związane z dymorfizmem płciowym. Obserwacja rozwoju fizycznego dziewczynek i chłopców mieściła się miedzy 5. a 95. </w:t>
      </w:r>
      <w:proofErr w:type="spellStart"/>
      <w:r>
        <w:t>centylem</w:t>
      </w:r>
      <w:proofErr w:type="spellEnd"/>
      <w:r>
        <w:t xml:space="preserve">, dla masy, długości ciała, przy czym chłopcy byli istotnie ciężsi, wyżsi niż dziewczynki we wszystkich badaniach. Średnie pomiary antropometryczne masy i długości ciała w 1 </w:t>
      </w:r>
      <w:proofErr w:type="spellStart"/>
      <w:r>
        <w:t>rż</w:t>
      </w:r>
      <w:proofErr w:type="spellEnd"/>
      <w:r>
        <w:t xml:space="preserve"> układają się bliżej 95. </w:t>
      </w:r>
      <w:proofErr w:type="spellStart"/>
      <w:r>
        <w:t>centyla</w:t>
      </w:r>
      <w:proofErr w:type="spellEnd"/>
      <w:r>
        <w:t xml:space="preserve">, a w 2. </w:t>
      </w:r>
      <w:proofErr w:type="spellStart"/>
      <w:r>
        <w:t>rż</w:t>
      </w:r>
      <w:proofErr w:type="spellEnd"/>
      <w:r>
        <w:t xml:space="preserve"> obniżają się do 5. </w:t>
      </w:r>
      <w:proofErr w:type="spellStart"/>
      <w:r>
        <w:t>centyla</w:t>
      </w:r>
      <w:proofErr w:type="spellEnd"/>
      <w:r>
        <w:t>.</w:t>
      </w:r>
    </w:p>
    <w:p w:rsidR="0076308E" w:rsidRDefault="0076308E" w:rsidP="0076308E">
      <w:pPr>
        <w:pStyle w:val="Beistertekst"/>
        <w:numPr>
          <w:ilvl w:val="0"/>
          <w:numId w:val="1"/>
        </w:numPr>
        <w:spacing w:line="240" w:lineRule="auto"/>
      </w:pPr>
      <w:r>
        <w:t>Dynamika rozwoju fizycznego  mierzona syntetyczną funkcją diagnostyczną Z</w:t>
      </w:r>
      <w:r>
        <w:rPr>
          <w:vertAlign w:val="subscript"/>
        </w:rPr>
        <w:t>PRF</w:t>
      </w:r>
      <w:r>
        <w:t xml:space="preserve"> w podgrupach ZOKN była podobna, a różnice nie istotne statystycznie. Zróżnicowanie rozwoju fizycznego wykazano u dzieci donoszonych i wcześniaków w okresie noworodkowym i w badaniu III i IV.</w:t>
      </w:r>
    </w:p>
    <w:p w:rsidR="0076308E" w:rsidRDefault="0076308E" w:rsidP="0076308E">
      <w:pPr>
        <w:pStyle w:val="Beistertekst"/>
        <w:numPr>
          <w:ilvl w:val="0"/>
          <w:numId w:val="1"/>
        </w:numPr>
        <w:spacing w:line="240" w:lineRule="auto"/>
      </w:pPr>
      <w:r>
        <w:t>Ocena rozwoju psychomotorycznego przy pomocy syntetycznej funkcji diagnostycznej Z</w:t>
      </w:r>
      <w:r>
        <w:rPr>
          <w:vertAlign w:val="subscript"/>
        </w:rPr>
        <w:t xml:space="preserve">PRPM1 </w:t>
      </w:r>
      <w:r>
        <w:t>w 1 roku życia i Z</w:t>
      </w:r>
      <w:r>
        <w:rPr>
          <w:vertAlign w:val="subscript"/>
        </w:rPr>
        <w:t>PRPM2</w:t>
      </w:r>
      <w:r>
        <w:t xml:space="preserve"> w 2 roku życia wykazała zróżnicowanie  w podgrupach ZOKN i CTC. Dzieci ze średniociężkim i ciężkim ZOKN istotnie odbiegały od normy przed terapią i po ukończeniu 2 lat. Wcześniaki i dzieci donoszone istotnie różniły się między sobą przed terapią, w badaniu II wcześniaki później urodzone „dogoniły” niemowlęta donoszone, ale gorsze wyniki osiągnęły w badaniu III i IV, bez korygowania wieku.</w:t>
      </w:r>
    </w:p>
    <w:p w:rsidR="0076308E" w:rsidRDefault="0076308E" w:rsidP="0076308E">
      <w:pPr>
        <w:pStyle w:val="Beistertekst"/>
        <w:numPr>
          <w:ilvl w:val="0"/>
          <w:numId w:val="1"/>
        </w:numPr>
        <w:spacing w:line="240" w:lineRule="auto"/>
      </w:pPr>
      <w:r>
        <w:t xml:space="preserve">Rozwój </w:t>
      </w:r>
      <w:proofErr w:type="spellStart"/>
      <w:r>
        <w:t>psychoemocjonalny</w:t>
      </w:r>
      <w:proofErr w:type="spellEnd"/>
      <w:r>
        <w:t xml:space="preserve"> mierzony syntetyczną funkcją diagnostyczną Z</w:t>
      </w:r>
      <w:r>
        <w:rPr>
          <w:vertAlign w:val="subscript"/>
        </w:rPr>
        <w:t>PIMD</w:t>
      </w:r>
      <w:r>
        <w:t xml:space="preserve">  jest istotnie niższy u dzieci ryzyka w porównaniu do grupy dzieci zdrowych. W podgrupach ZOKN i w podgrupach  CTC, różnice nie są istotne statystycznie. Większą dynamikę poziomu interakcji między matką i dzieckiem obserwuje się w badaniu I, II, III niż                           w badaniu IV. </w:t>
      </w:r>
    </w:p>
    <w:p w:rsidR="0076308E" w:rsidRDefault="0076308E" w:rsidP="0076308E">
      <w:pPr>
        <w:pStyle w:val="Beistertekst"/>
        <w:spacing w:line="240" w:lineRule="auto"/>
      </w:pPr>
      <w:r>
        <w:rPr>
          <w:b/>
        </w:rPr>
        <w:t>Słowa kluczowe</w:t>
      </w:r>
      <w:r>
        <w:t>: dzieci ryzyka, poziom zagrożenia, rozwój fizyczny, rozwój psychomotoryczny, rozwój emocjonalny</w:t>
      </w:r>
    </w:p>
    <w:p w:rsidR="003714D0" w:rsidRDefault="003714D0"/>
    <w:sectPr w:rsidR="00371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70D7F"/>
    <w:multiLevelType w:val="hybridMultilevel"/>
    <w:tmpl w:val="F984DDC4"/>
    <w:lvl w:ilvl="0" w:tplc="61FA1C3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8E"/>
    <w:rsid w:val="003714D0"/>
    <w:rsid w:val="0076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5A34A-62A5-40E9-9FDA-D81806B0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0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istertekst">
    <w:name w:val="Beister_tekst"/>
    <w:basedOn w:val="Normalny"/>
    <w:qFormat/>
    <w:rsid w:val="0076308E"/>
    <w:pPr>
      <w:spacing w:before="360" w:after="240" w:line="360" w:lineRule="auto"/>
      <w:ind w:firstLine="709"/>
      <w:contextualSpacing/>
      <w:jc w:val="both"/>
    </w:pPr>
    <w:rPr>
      <w:rFonts w:ascii="Times New Roman" w:hAnsi="Times New Roman" w:cs="Times New Roman"/>
      <w:sz w:val="24"/>
    </w:rPr>
  </w:style>
  <w:style w:type="paragraph" w:customStyle="1" w:styleId="BeisterL114">
    <w:name w:val="Beister_L1_14"/>
    <w:basedOn w:val="Normalny"/>
    <w:next w:val="Normalny"/>
    <w:autoRedefine/>
    <w:qFormat/>
    <w:rsid w:val="0076308E"/>
    <w:pPr>
      <w:spacing w:before="600" w:after="600" w:line="240" w:lineRule="auto"/>
      <w:ind w:left="510" w:hanging="510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1453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1</cp:revision>
  <dcterms:created xsi:type="dcterms:W3CDTF">2019-06-10T08:16:00Z</dcterms:created>
  <dcterms:modified xsi:type="dcterms:W3CDTF">2019-06-10T08:17:00Z</dcterms:modified>
</cp:coreProperties>
</file>