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EC0" w:rsidRPr="00F66094" w:rsidRDefault="008F7EC0" w:rsidP="008F7EC0">
      <w:pPr>
        <w:rPr>
          <w:rFonts w:ascii="Corbel" w:hAnsi="Corbel"/>
          <w:i/>
        </w:rPr>
      </w:pPr>
      <w:bookmarkStart w:id="0" w:name="_GoBack"/>
      <w:bookmarkEnd w:id="0"/>
      <w:r w:rsidRPr="00F66094">
        <w:rPr>
          <w:rFonts w:ascii="Corbel" w:hAnsi="Corbel"/>
          <w:i/>
        </w:rPr>
        <w:t>Załącznik</w:t>
      </w:r>
    </w:p>
    <w:p w:rsidR="008F7EC0" w:rsidRPr="00F66094" w:rsidRDefault="008F7EC0" w:rsidP="008F7EC0">
      <w:pPr>
        <w:rPr>
          <w:rFonts w:ascii="Corbel" w:hAnsi="Corbel"/>
          <w:b/>
        </w:rPr>
      </w:pPr>
      <w:r w:rsidRPr="00F66094">
        <w:rPr>
          <w:rFonts w:ascii="Corbel" w:hAnsi="Corbel"/>
          <w:b/>
        </w:rPr>
        <w:t>Ocena dostosowania stanu bazy dydaktycznej i naukowej do specyfiki prowadzonych kierunków studiów</w:t>
      </w:r>
    </w:p>
    <w:p w:rsidR="008F7EC0" w:rsidRPr="00F66094" w:rsidRDefault="008F7EC0" w:rsidP="008F7EC0">
      <w:pPr>
        <w:rPr>
          <w:rFonts w:ascii="Corbel" w:hAnsi="Corbel"/>
          <w:b/>
        </w:rPr>
      </w:pPr>
    </w:p>
    <w:p w:rsidR="008F7EC0" w:rsidRPr="00F66094" w:rsidRDefault="008F7EC0" w:rsidP="008F7EC0">
      <w:pPr>
        <w:rPr>
          <w:rFonts w:ascii="Corbel" w:hAnsi="Corbel"/>
          <w:b/>
        </w:rPr>
      </w:pPr>
      <w:r w:rsidRPr="00F66094">
        <w:rPr>
          <w:rFonts w:ascii="Corbel" w:hAnsi="Corbel"/>
          <w:b/>
        </w:rPr>
        <w:t>Kierunek: .............................................</w:t>
      </w:r>
    </w:p>
    <w:p w:rsidR="008F7EC0" w:rsidRPr="00F66094" w:rsidRDefault="008F7EC0" w:rsidP="008F7EC0">
      <w:pPr>
        <w:rPr>
          <w:rFonts w:ascii="Corbel" w:hAnsi="Corbel"/>
        </w:rPr>
      </w:pPr>
    </w:p>
    <w:p w:rsidR="008F7EC0" w:rsidRPr="00F66094" w:rsidRDefault="008F7EC0" w:rsidP="008F7EC0">
      <w:pPr>
        <w:rPr>
          <w:rFonts w:ascii="Corbel" w:hAnsi="Corbel"/>
        </w:rPr>
      </w:pPr>
      <w:r w:rsidRPr="00F66094">
        <w:rPr>
          <w:rFonts w:ascii="Corbel" w:hAnsi="Corbel"/>
        </w:rPr>
        <w:t>Ocena w skali od 1 do 5, gdzie 1 oznacza ocenę niedostateczną a 5 – bardzo dobrą</w:t>
      </w:r>
    </w:p>
    <w:tbl>
      <w:tblPr>
        <w:tblStyle w:val="Tabela-Siatka"/>
        <w:tblW w:w="10314" w:type="dxa"/>
        <w:tblLook w:val="04A0" w:firstRow="1" w:lastRow="0" w:firstColumn="1" w:lastColumn="0" w:noHBand="0" w:noVBand="1"/>
      </w:tblPr>
      <w:tblGrid>
        <w:gridCol w:w="5637"/>
        <w:gridCol w:w="1417"/>
        <w:gridCol w:w="3260"/>
      </w:tblGrid>
      <w:tr w:rsidR="008F7EC0" w:rsidRPr="00F66094" w:rsidTr="00A651CE">
        <w:tc>
          <w:tcPr>
            <w:tcW w:w="5637" w:type="dxa"/>
          </w:tcPr>
          <w:p w:rsidR="008F7EC0" w:rsidRPr="00F66094" w:rsidRDefault="008F7EC0" w:rsidP="00A651CE">
            <w:pPr>
              <w:jc w:val="center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Przedmiot oceny</w:t>
            </w:r>
          </w:p>
        </w:tc>
        <w:tc>
          <w:tcPr>
            <w:tcW w:w="1417" w:type="dxa"/>
          </w:tcPr>
          <w:p w:rsidR="008F7EC0" w:rsidRPr="00F66094" w:rsidRDefault="008F7EC0" w:rsidP="00A651CE">
            <w:pPr>
              <w:jc w:val="center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ocena</w:t>
            </w:r>
          </w:p>
        </w:tc>
        <w:tc>
          <w:tcPr>
            <w:tcW w:w="3260" w:type="dxa"/>
          </w:tcPr>
          <w:p w:rsidR="008F7EC0" w:rsidRPr="00F66094" w:rsidRDefault="008F7EC0" w:rsidP="00A651CE">
            <w:pPr>
              <w:jc w:val="center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uwagi</w:t>
            </w:r>
          </w:p>
        </w:tc>
      </w:tr>
      <w:tr w:rsidR="008F7EC0" w:rsidRPr="00F66094" w:rsidTr="00A651CE">
        <w:tc>
          <w:tcPr>
            <w:tcW w:w="5637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 xml:space="preserve">Liczba i powierzchnia </w:t>
            </w:r>
            <w:proofErr w:type="spellStart"/>
            <w:r w:rsidRPr="00F66094">
              <w:rPr>
                <w:rFonts w:ascii="Corbel" w:hAnsi="Corbel"/>
              </w:rPr>
              <w:t>sal</w:t>
            </w:r>
            <w:proofErr w:type="spellEnd"/>
            <w:r w:rsidRPr="00F66094">
              <w:rPr>
                <w:rFonts w:ascii="Corbel" w:hAnsi="Corbel"/>
              </w:rPr>
              <w:t xml:space="preserve"> dydaktycznych (wykładowych, seminaryjnych, laboratoryjnych, pracowni specjalistycznych i komputerowych) jest dostosowana do liczby studentów.</w:t>
            </w:r>
          </w:p>
        </w:tc>
        <w:tc>
          <w:tcPr>
            <w:tcW w:w="1417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</w:p>
        </w:tc>
      </w:tr>
      <w:tr w:rsidR="008F7EC0" w:rsidRPr="00F66094" w:rsidTr="00A651CE">
        <w:tc>
          <w:tcPr>
            <w:tcW w:w="5637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W salach dydaktycznych liczba stanowisk jest adekwatna do powierzchni pomieszczenia i liczby studentów.</w:t>
            </w:r>
          </w:p>
        </w:tc>
        <w:tc>
          <w:tcPr>
            <w:tcW w:w="1417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</w:p>
        </w:tc>
      </w:tr>
      <w:tr w:rsidR="008F7EC0" w:rsidRPr="00F66094" w:rsidTr="00A651CE">
        <w:tc>
          <w:tcPr>
            <w:tcW w:w="5637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Wyposażenie pomieszczeń (sprzęt laboratoryjny, audiowizualny, komputerowy, specjalistyczny oraz inny dydaktyczny) zapewnia pełną realizację zadań wynikających z programu studiów.</w:t>
            </w:r>
          </w:p>
        </w:tc>
        <w:tc>
          <w:tcPr>
            <w:tcW w:w="1417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</w:p>
        </w:tc>
      </w:tr>
      <w:tr w:rsidR="008F7EC0" w:rsidRPr="00F66094" w:rsidTr="00A651CE">
        <w:tc>
          <w:tcPr>
            <w:tcW w:w="5637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Studenci mają zapewniony dostęp do komputerów i Internetu także poza zajęciami dydaktycznymi.</w:t>
            </w:r>
          </w:p>
        </w:tc>
        <w:tc>
          <w:tcPr>
            <w:tcW w:w="1417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</w:p>
        </w:tc>
      </w:tr>
      <w:tr w:rsidR="008F7EC0" w:rsidRPr="00F66094" w:rsidTr="00A651CE">
        <w:tc>
          <w:tcPr>
            <w:tcW w:w="5637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Budynek dydaktyczny (budynki), z którego korzystają studenci jest w odpowiednim stanie technicznym i estetycznym.</w:t>
            </w:r>
          </w:p>
        </w:tc>
        <w:tc>
          <w:tcPr>
            <w:tcW w:w="1417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</w:p>
        </w:tc>
      </w:tr>
      <w:tr w:rsidR="008F7EC0" w:rsidRPr="00F66094" w:rsidTr="00A651CE">
        <w:tc>
          <w:tcPr>
            <w:tcW w:w="5637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Pomieszczenia dostosowane są do potrzeb osób niepełnosprawnych.</w:t>
            </w:r>
          </w:p>
        </w:tc>
        <w:tc>
          <w:tcPr>
            <w:tcW w:w="1417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</w:p>
        </w:tc>
      </w:tr>
      <w:tr w:rsidR="008F7EC0" w:rsidRPr="00F66094" w:rsidTr="00A651CE">
        <w:tc>
          <w:tcPr>
            <w:tcW w:w="5637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Zbiory biblioteki obejmują aktualne pozycje wskazane w sylabusach przedmiotów w liczbie egzemplarzy zapewniającej studentom swobodny dostęp oraz literaturę umożliwiającą prowadzenie badań naukowych w dziedzinie związanej z kierunkiem.</w:t>
            </w:r>
          </w:p>
        </w:tc>
        <w:tc>
          <w:tcPr>
            <w:tcW w:w="1417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</w:p>
        </w:tc>
      </w:tr>
      <w:tr w:rsidR="008F7EC0" w:rsidRPr="00F66094" w:rsidTr="00A651CE">
        <w:tc>
          <w:tcPr>
            <w:tcW w:w="5637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Biblioteka wyposażona jest w podręczny aktualny księgozbiór związany z danym kierunkiem studiów oraz odpowiednią do liczby studentów liczbę komputerów z dostępem do Internetu i specjalistycznych baz danych.</w:t>
            </w:r>
          </w:p>
        </w:tc>
        <w:tc>
          <w:tcPr>
            <w:tcW w:w="1417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</w:p>
        </w:tc>
      </w:tr>
      <w:tr w:rsidR="008F7EC0" w:rsidRPr="00F66094" w:rsidTr="00A651CE">
        <w:tc>
          <w:tcPr>
            <w:tcW w:w="5637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Infrastruktura oraz wyposażenie instytucji</w:t>
            </w:r>
            <w:r>
              <w:rPr>
                <w:rFonts w:ascii="Corbel" w:hAnsi="Corbel"/>
              </w:rPr>
              <w:t>,</w:t>
            </w:r>
            <w:r w:rsidRPr="00F66094">
              <w:rPr>
                <w:rFonts w:ascii="Corbel" w:hAnsi="Corbel"/>
              </w:rPr>
              <w:t xml:space="preserve"> w których odbywają się praktyki zawodowe umożliwiają wykonywanie czynności praktycznych i zapewniają osiągnięcie kompetencji zawodowych związanych z ocenianym kierunkiem /</w:t>
            </w:r>
            <w:r w:rsidRPr="00F66094">
              <w:rPr>
                <w:rFonts w:ascii="Corbel" w:hAnsi="Corbel"/>
                <w:i/>
              </w:rPr>
              <w:t>w szczególności w przypadku profilu praktycznego</w:t>
            </w:r>
            <w:r w:rsidRPr="00F66094">
              <w:rPr>
                <w:rFonts w:ascii="Corbel" w:hAnsi="Corbel"/>
              </w:rPr>
              <w:t>.</w:t>
            </w:r>
          </w:p>
        </w:tc>
        <w:tc>
          <w:tcPr>
            <w:tcW w:w="1417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</w:p>
        </w:tc>
      </w:tr>
    </w:tbl>
    <w:p w:rsidR="008F7EC0" w:rsidRPr="00F66094" w:rsidRDefault="008F7EC0" w:rsidP="008F7EC0">
      <w:pPr>
        <w:jc w:val="both"/>
        <w:rPr>
          <w:rFonts w:ascii="Corbel" w:hAnsi="Corbel"/>
        </w:rPr>
      </w:pPr>
    </w:p>
    <w:p w:rsidR="008F7EC0" w:rsidRPr="00F66094" w:rsidRDefault="008F7EC0" w:rsidP="008F7EC0">
      <w:pPr>
        <w:jc w:val="both"/>
        <w:rPr>
          <w:rFonts w:ascii="Corbel" w:hAnsi="Corbel"/>
        </w:rPr>
      </w:pPr>
    </w:p>
    <w:p w:rsidR="008F7EC0" w:rsidRPr="00F66094" w:rsidRDefault="008F7EC0" w:rsidP="008F7EC0">
      <w:pPr>
        <w:rPr>
          <w:rFonts w:ascii="Corbel" w:hAnsi="Corbel"/>
          <w:b/>
        </w:rPr>
      </w:pPr>
      <w:r w:rsidRPr="00F66094">
        <w:rPr>
          <w:rFonts w:ascii="Corbel" w:hAnsi="Corbel"/>
          <w:b/>
        </w:rPr>
        <w:br w:type="page"/>
      </w:r>
    </w:p>
    <w:p w:rsidR="008F7EC0" w:rsidRPr="00F66094" w:rsidRDefault="008F7EC0" w:rsidP="008F7EC0">
      <w:pPr>
        <w:jc w:val="both"/>
        <w:rPr>
          <w:rFonts w:ascii="Corbel" w:hAnsi="Corbel"/>
        </w:rPr>
      </w:pPr>
      <w:r w:rsidRPr="00F66094">
        <w:rPr>
          <w:rFonts w:ascii="Corbel" w:hAnsi="Corbel"/>
          <w:b/>
        </w:rPr>
        <w:lastRenderedPageBreak/>
        <w:t>Dodatkowe kryteria dotyczące wyłącznie kierunków medycznych</w:t>
      </w:r>
      <w:r w:rsidRPr="00F66094">
        <w:rPr>
          <w:rFonts w:ascii="Corbel" w:hAnsi="Corbel"/>
        </w:rPr>
        <w:t>:</w:t>
      </w:r>
    </w:p>
    <w:tbl>
      <w:tblPr>
        <w:tblStyle w:val="Tabela-Siatka"/>
        <w:tblW w:w="10314" w:type="dxa"/>
        <w:tblLook w:val="04A0" w:firstRow="1" w:lastRow="0" w:firstColumn="1" w:lastColumn="0" w:noHBand="0" w:noVBand="1"/>
      </w:tblPr>
      <w:tblGrid>
        <w:gridCol w:w="5637"/>
        <w:gridCol w:w="1417"/>
        <w:gridCol w:w="3260"/>
      </w:tblGrid>
      <w:tr w:rsidR="008F7EC0" w:rsidRPr="00F66094" w:rsidTr="00A651CE">
        <w:tc>
          <w:tcPr>
            <w:tcW w:w="5637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Baza, w której odbywają się zajęcia kliniczne zapewnia studentom zapoznanie się z pełnym zakresem działań medycznych i różnorodnymi jednostkami chorobowymi oraz nabycie umiejętności praktycznych adekwatnych do sylwetki absolwenta.</w:t>
            </w:r>
          </w:p>
        </w:tc>
        <w:tc>
          <w:tcPr>
            <w:tcW w:w="1417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</w:p>
        </w:tc>
      </w:tr>
      <w:tr w:rsidR="008F7EC0" w:rsidRPr="00F66094" w:rsidTr="00A651CE">
        <w:tc>
          <w:tcPr>
            <w:tcW w:w="5637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Baza, w której odbywają się zajęcia kliniczne zapewnia bezpieczne warunki pracy.</w:t>
            </w:r>
          </w:p>
        </w:tc>
        <w:tc>
          <w:tcPr>
            <w:tcW w:w="1417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</w:p>
        </w:tc>
      </w:tr>
      <w:tr w:rsidR="008F7EC0" w:rsidRPr="00F66094" w:rsidTr="00A651CE">
        <w:tc>
          <w:tcPr>
            <w:tcW w:w="5637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 xml:space="preserve">Laboratoria o charakterze diagnostycznym i badawczym dysponują współczesną aparaturą pomiarową pozwalającą na stosowanie aktualnych metod diagnostyczno-badawczych. </w:t>
            </w:r>
          </w:p>
        </w:tc>
        <w:tc>
          <w:tcPr>
            <w:tcW w:w="1417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:rsidR="008F7EC0" w:rsidRPr="00F66094" w:rsidRDefault="008F7EC0" w:rsidP="00A651CE">
            <w:pPr>
              <w:jc w:val="both"/>
              <w:rPr>
                <w:rFonts w:ascii="Corbel" w:hAnsi="Corbel"/>
              </w:rPr>
            </w:pPr>
          </w:p>
        </w:tc>
      </w:tr>
    </w:tbl>
    <w:p w:rsidR="008F7EC0" w:rsidRPr="00F66094" w:rsidRDefault="008F7EC0" w:rsidP="008F7EC0">
      <w:pPr>
        <w:rPr>
          <w:rFonts w:ascii="Corbel" w:hAnsi="Corbel"/>
        </w:rPr>
      </w:pPr>
    </w:p>
    <w:p w:rsidR="008F7EC0" w:rsidRPr="00F66094" w:rsidRDefault="008F7EC0" w:rsidP="008F7EC0">
      <w:pPr>
        <w:rPr>
          <w:rFonts w:ascii="Corbel" w:hAnsi="Corbel"/>
        </w:rPr>
      </w:pPr>
    </w:p>
    <w:p w:rsidR="008F7EC0" w:rsidRPr="00F66094" w:rsidRDefault="008F7EC0" w:rsidP="008F7EC0">
      <w:pPr>
        <w:rPr>
          <w:rFonts w:ascii="Corbel" w:hAnsi="Corbel"/>
        </w:rPr>
      </w:pPr>
    </w:p>
    <w:p w:rsidR="008F7EC0" w:rsidRPr="00F66094" w:rsidRDefault="008F7EC0" w:rsidP="008F7EC0">
      <w:pPr>
        <w:rPr>
          <w:rFonts w:ascii="Corbel" w:hAnsi="Corbel"/>
          <w:b/>
        </w:rPr>
      </w:pPr>
      <w:r w:rsidRPr="00F66094">
        <w:rPr>
          <w:rFonts w:ascii="Corbel" w:hAnsi="Corbel"/>
          <w:b/>
        </w:rPr>
        <w:t>Podsumowanie:</w:t>
      </w:r>
    </w:p>
    <w:p w:rsidR="008F7EC0" w:rsidRPr="00F66094" w:rsidRDefault="008F7EC0" w:rsidP="008F7EC0">
      <w:pPr>
        <w:jc w:val="both"/>
        <w:rPr>
          <w:rFonts w:ascii="Corbel" w:hAnsi="Corbel"/>
          <w:i/>
        </w:rPr>
      </w:pPr>
      <w:r w:rsidRPr="00F66094">
        <w:rPr>
          <w:rFonts w:ascii="Corbel" w:hAnsi="Corbel"/>
        </w:rPr>
        <w:t xml:space="preserve">Jakie elementy zasobów materialnych, w tym infrastruktury, wymagają uzupełnienia bądź poprawy, w celu podniesienia jakości kształcenia </w:t>
      </w:r>
      <w:r w:rsidRPr="00F66094">
        <w:rPr>
          <w:rFonts w:ascii="Corbel" w:hAnsi="Corbel"/>
          <w:i/>
        </w:rPr>
        <w:t>(na podstawie przeprowadzonej oceny z uwzględnieniem uwag oraz wniosków pracowników i studentów).</w:t>
      </w:r>
    </w:p>
    <w:p w:rsidR="008F7EC0" w:rsidRPr="00F66094" w:rsidRDefault="008F7EC0" w:rsidP="008F7EC0">
      <w:pPr>
        <w:rPr>
          <w:rFonts w:ascii="Corbel" w:hAnsi="Corbel"/>
        </w:rPr>
      </w:pPr>
      <w:r w:rsidRPr="00F66094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rbel" w:hAnsi="Corbel"/>
        </w:rPr>
        <w:t>................</w:t>
      </w:r>
    </w:p>
    <w:p w:rsidR="008F7EC0" w:rsidRPr="00F66094" w:rsidRDefault="008F7EC0" w:rsidP="008F7EC0">
      <w:pPr>
        <w:rPr>
          <w:rFonts w:ascii="Corbel" w:hAnsi="Corbel"/>
        </w:rPr>
      </w:pPr>
    </w:p>
    <w:p w:rsidR="008F7EC0" w:rsidRPr="00F66094" w:rsidRDefault="008F7EC0" w:rsidP="008F7EC0">
      <w:pPr>
        <w:rPr>
          <w:rFonts w:ascii="Corbel" w:hAnsi="Corbel"/>
        </w:rPr>
      </w:pPr>
    </w:p>
    <w:p w:rsidR="008F7EC0" w:rsidRPr="00F66094" w:rsidRDefault="008F7EC0" w:rsidP="008F7EC0">
      <w:pPr>
        <w:rPr>
          <w:rFonts w:ascii="Corbel" w:hAnsi="Corbel"/>
        </w:rPr>
      </w:pPr>
    </w:p>
    <w:p w:rsidR="008F7EC0" w:rsidRPr="00F66094" w:rsidRDefault="008F7EC0" w:rsidP="008F7EC0">
      <w:pPr>
        <w:rPr>
          <w:rFonts w:ascii="Corbel" w:hAnsi="Corbel"/>
        </w:rPr>
      </w:pPr>
    </w:p>
    <w:p w:rsidR="008F7EC0" w:rsidRPr="00F66094" w:rsidRDefault="008F7EC0" w:rsidP="008F7EC0">
      <w:pPr>
        <w:rPr>
          <w:rFonts w:ascii="Corbel" w:hAnsi="Corbel"/>
        </w:rPr>
      </w:pPr>
    </w:p>
    <w:p w:rsidR="008F7EC0" w:rsidRPr="00F66094" w:rsidRDefault="008F7EC0" w:rsidP="008F7EC0">
      <w:pPr>
        <w:rPr>
          <w:rFonts w:ascii="Corbel" w:hAnsi="Corbel"/>
        </w:rPr>
      </w:pPr>
    </w:p>
    <w:p w:rsidR="008F7EC0" w:rsidRPr="00F66094" w:rsidRDefault="008F7EC0" w:rsidP="008F7EC0">
      <w:pPr>
        <w:rPr>
          <w:rFonts w:ascii="Corbel" w:hAnsi="Corbel"/>
        </w:rPr>
      </w:pPr>
    </w:p>
    <w:p w:rsidR="008F7EC0" w:rsidRPr="00F66094" w:rsidRDefault="008F7EC0" w:rsidP="008F7EC0">
      <w:pPr>
        <w:rPr>
          <w:rFonts w:ascii="Corbel" w:hAnsi="Corbel"/>
        </w:rPr>
      </w:pPr>
    </w:p>
    <w:p w:rsidR="008F7EC0" w:rsidRPr="00F66094" w:rsidRDefault="008F7EC0" w:rsidP="008F7EC0">
      <w:pPr>
        <w:rPr>
          <w:rFonts w:ascii="Corbel" w:hAnsi="Corbel"/>
        </w:rPr>
      </w:pPr>
    </w:p>
    <w:p w:rsidR="008F7EC0" w:rsidRPr="00F66094" w:rsidRDefault="008F7EC0" w:rsidP="008F7EC0">
      <w:pPr>
        <w:rPr>
          <w:rFonts w:ascii="Corbel" w:hAnsi="Corbel"/>
        </w:rPr>
      </w:pPr>
    </w:p>
    <w:p w:rsidR="008F7EC0" w:rsidRPr="00F66094" w:rsidRDefault="008F7EC0" w:rsidP="008F7EC0">
      <w:pPr>
        <w:rPr>
          <w:rFonts w:ascii="Corbel" w:hAnsi="Corbel"/>
        </w:rPr>
      </w:pPr>
    </w:p>
    <w:p w:rsidR="008F7EC0" w:rsidRPr="00F66094" w:rsidRDefault="008F7EC0" w:rsidP="008F7EC0">
      <w:pPr>
        <w:rPr>
          <w:rFonts w:ascii="Corbel" w:hAnsi="Corbel"/>
        </w:rPr>
      </w:pPr>
    </w:p>
    <w:p w:rsidR="008F7EC0" w:rsidRPr="00F66094" w:rsidRDefault="008F7EC0" w:rsidP="008F7EC0">
      <w:pPr>
        <w:rPr>
          <w:rFonts w:ascii="Corbel" w:hAnsi="Corbel"/>
        </w:rPr>
      </w:pPr>
    </w:p>
    <w:p w:rsidR="008F7EC0" w:rsidRPr="00F66094" w:rsidRDefault="008F7EC0" w:rsidP="008F7EC0">
      <w:pPr>
        <w:rPr>
          <w:rFonts w:ascii="Corbel" w:hAnsi="Corbel"/>
        </w:rPr>
      </w:pPr>
    </w:p>
    <w:p w:rsidR="008F7EC0" w:rsidRPr="00F66094" w:rsidRDefault="008F7EC0" w:rsidP="008F7EC0">
      <w:pPr>
        <w:rPr>
          <w:rFonts w:ascii="Corbel" w:hAnsi="Corbel"/>
        </w:rPr>
      </w:pPr>
    </w:p>
    <w:p w:rsidR="008F7EC0" w:rsidRPr="00F66094" w:rsidRDefault="008F7EC0" w:rsidP="008F7EC0">
      <w:pPr>
        <w:rPr>
          <w:rFonts w:ascii="Corbel" w:hAnsi="Corbel"/>
        </w:rPr>
      </w:pPr>
      <w:r w:rsidRPr="00F66094">
        <w:rPr>
          <w:rFonts w:ascii="Corbel" w:hAnsi="Corbel"/>
        </w:rPr>
        <w:t>Data ............................</w:t>
      </w:r>
      <w:r w:rsidRPr="00F66094">
        <w:rPr>
          <w:rFonts w:ascii="Corbel" w:hAnsi="Corbel"/>
        </w:rPr>
        <w:tab/>
      </w:r>
      <w:r w:rsidRPr="00F66094">
        <w:rPr>
          <w:rFonts w:ascii="Corbel" w:hAnsi="Corbel"/>
        </w:rPr>
        <w:tab/>
      </w:r>
      <w:r w:rsidRPr="00F66094">
        <w:rPr>
          <w:rFonts w:ascii="Corbel" w:hAnsi="Corbel"/>
        </w:rPr>
        <w:tab/>
      </w:r>
      <w:r w:rsidRPr="00F66094">
        <w:rPr>
          <w:rFonts w:ascii="Corbel" w:hAnsi="Corbel"/>
        </w:rPr>
        <w:tab/>
        <w:t xml:space="preserve">Podpisy </w:t>
      </w:r>
      <w:r>
        <w:rPr>
          <w:rFonts w:ascii="Corbel" w:hAnsi="Corbel"/>
        </w:rPr>
        <w:t>c</w:t>
      </w:r>
      <w:r w:rsidRPr="00F66094">
        <w:rPr>
          <w:rFonts w:ascii="Corbel" w:hAnsi="Corbel"/>
        </w:rPr>
        <w:t xml:space="preserve">złonków Zespołu Oceniającego </w:t>
      </w:r>
    </w:p>
    <w:p w:rsidR="008F7EC0" w:rsidRPr="00F66094" w:rsidRDefault="008F7EC0" w:rsidP="008F7EC0">
      <w:pPr>
        <w:rPr>
          <w:rFonts w:ascii="Corbel" w:hAnsi="Corbel"/>
        </w:rPr>
      </w:pPr>
      <w:r w:rsidRPr="00F66094">
        <w:rPr>
          <w:rFonts w:ascii="Corbel" w:hAnsi="Corbel"/>
        </w:rPr>
        <w:tab/>
      </w:r>
      <w:r w:rsidRPr="00F66094">
        <w:rPr>
          <w:rFonts w:ascii="Corbel" w:hAnsi="Corbel"/>
        </w:rPr>
        <w:tab/>
      </w:r>
      <w:r w:rsidRPr="00F66094">
        <w:rPr>
          <w:rFonts w:ascii="Corbel" w:hAnsi="Corbel"/>
        </w:rPr>
        <w:tab/>
      </w:r>
      <w:r w:rsidRPr="00F66094">
        <w:rPr>
          <w:rFonts w:ascii="Corbel" w:hAnsi="Corbel"/>
        </w:rPr>
        <w:tab/>
      </w:r>
      <w:r w:rsidRPr="00F66094">
        <w:rPr>
          <w:rFonts w:ascii="Corbel" w:hAnsi="Corbel"/>
        </w:rPr>
        <w:tab/>
      </w:r>
      <w:r w:rsidRPr="00F66094">
        <w:rPr>
          <w:rFonts w:ascii="Corbel" w:hAnsi="Corbel"/>
        </w:rPr>
        <w:tab/>
      </w:r>
      <w:r w:rsidRPr="00F66094">
        <w:rPr>
          <w:rFonts w:ascii="Corbel" w:hAnsi="Corbel"/>
        </w:rPr>
        <w:tab/>
      </w:r>
    </w:p>
    <w:p w:rsidR="008449B3" w:rsidRPr="008917F9" w:rsidRDefault="008449B3" w:rsidP="008917F9"/>
    <w:sectPr w:rsidR="008449B3" w:rsidRPr="008917F9" w:rsidSect="000B5F91">
      <w:pgSz w:w="11906" w:h="16838"/>
      <w:pgMar w:top="709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C0"/>
    <w:rsid w:val="00710B9C"/>
    <w:rsid w:val="008449B3"/>
    <w:rsid w:val="008917F9"/>
    <w:rsid w:val="008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6B7DF-10DB-421D-8F37-A2C5302B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7E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7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0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2020-03-11T07:29:00Z</dcterms:created>
  <dcterms:modified xsi:type="dcterms:W3CDTF">2020-03-11T07:29:00Z</dcterms:modified>
</cp:coreProperties>
</file>