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B5E" w:rsidRDefault="00AF224E" w:rsidP="008A5A13">
      <w:pPr>
        <w:spacing w:before="34"/>
        <w:ind w:right="120"/>
        <w:jc w:val="right"/>
        <w:rPr>
          <w:i/>
          <w:sz w:val="24"/>
        </w:rPr>
      </w:pPr>
      <w:r>
        <w:rPr>
          <w:i/>
          <w:sz w:val="24"/>
        </w:rPr>
        <w:t>Zał</w:t>
      </w:r>
      <w:r w:rsidR="008A5A13"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 w:rsidR="008A5A13">
        <w:rPr>
          <w:i/>
          <w:sz w:val="24"/>
        </w:rPr>
        <w:t>4</w:t>
      </w:r>
      <w:r>
        <w:rPr>
          <w:i/>
          <w:sz w:val="24"/>
        </w:rPr>
        <w:t>.1.</w:t>
      </w:r>
      <w:r>
        <w:rPr>
          <w:i/>
          <w:spacing w:val="-4"/>
          <w:sz w:val="24"/>
        </w:rPr>
        <w:t xml:space="preserve"> </w:t>
      </w:r>
      <w:r w:rsidR="008A5A13">
        <w:rPr>
          <w:i/>
          <w:spacing w:val="-4"/>
          <w:sz w:val="24"/>
        </w:rPr>
        <w:t>do Uchwały nr …/05/2024 Senatu UR</w:t>
      </w:r>
      <w:r w:rsidR="008A5A13">
        <w:rPr>
          <w:i/>
          <w:spacing w:val="-4"/>
          <w:sz w:val="24"/>
        </w:rPr>
        <w:br/>
        <w:t>z dnia 23 maja 2024 r.</w:t>
      </w:r>
      <w:bookmarkStart w:id="0" w:name="_GoBack"/>
      <w:bookmarkEnd w:id="0"/>
    </w:p>
    <w:p w:rsidR="00614B5E" w:rsidRDefault="00614B5E">
      <w:pPr>
        <w:pStyle w:val="Tekstpodstawowy"/>
        <w:spacing w:before="141"/>
        <w:rPr>
          <w:i/>
          <w:sz w:val="24"/>
        </w:rPr>
      </w:pPr>
    </w:p>
    <w:p w:rsidR="00614B5E" w:rsidRDefault="00AF224E">
      <w:pPr>
        <w:pStyle w:val="Nagwek1"/>
        <w:ind w:left="3235"/>
      </w:pPr>
      <w:r>
        <w:t>OGÓLNE</w:t>
      </w:r>
      <w:r>
        <w:rPr>
          <w:spacing w:val="-4"/>
        </w:rPr>
        <w:t xml:space="preserve"> </w:t>
      </w:r>
      <w:r>
        <w:t>INFORMACJE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KIERUNKU</w:t>
      </w:r>
      <w:r>
        <w:rPr>
          <w:spacing w:val="-4"/>
        </w:rPr>
        <w:t xml:space="preserve"> </w:t>
      </w:r>
      <w:r>
        <w:rPr>
          <w:spacing w:val="-2"/>
        </w:rPr>
        <w:t>STUDIÓW</w:t>
      </w:r>
    </w:p>
    <w:p w:rsidR="00614B5E" w:rsidRDefault="00AF224E">
      <w:pPr>
        <w:spacing w:before="202"/>
        <w:ind w:right="104"/>
        <w:jc w:val="center"/>
        <w:rPr>
          <w:i/>
          <w:sz w:val="24"/>
        </w:rPr>
      </w:pPr>
      <w:r>
        <w:rPr>
          <w:i/>
          <w:sz w:val="24"/>
        </w:rPr>
        <w:t>Obowiązuje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roku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akademickiego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2024/2025</w:t>
      </w:r>
    </w:p>
    <w:p w:rsidR="00614B5E" w:rsidRDefault="00614B5E">
      <w:pPr>
        <w:pStyle w:val="Tekstpodstawowy"/>
        <w:spacing w:before="6"/>
        <w:rPr>
          <w:i/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61"/>
        <w:gridCol w:w="4539"/>
      </w:tblGrid>
      <w:tr w:rsidR="00614B5E">
        <w:trPr>
          <w:trHeight w:val="606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68"/>
              <w:ind w:left="221"/>
            </w:pPr>
            <w:r>
              <w:rPr>
                <w:spacing w:val="-5"/>
              </w:rPr>
              <w:t>1.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49"/>
              <w:ind w:left="110"/>
            </w:pPr>
            <w:r>
              <w:t>Nazwa</w:t>
            </w:r>
            <w:r>
              <w:rPr>
                <w:spacing w:val="-8"/>
              </w:rPr>
              <w:t xml:space="preserve"> </w:t>
            </w:r>
            <w:r>
              <w:t>kierunku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studiów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2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Ochrona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środowiska</w:t>
            </w:r>
          </w:p>
        </w:tc>
      </w:tr>
      <w:tr w:rsidR="00614B5E">
        <w:trPr>
          <w:trHeight w:val="606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6"/>
              <w:ind w:left="221"/>
            </w:pPr>
            <w:r>
              <w:rPr>
                <w:spacing w:val="-5"/>
              </w:rPr>
              <w:t>2.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2"/>
              <w:ind w:left="110"/>
            </w:pPr>
            <w:r>
              <w:t>Poziom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studiów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7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>studia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pierwszego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stopnia</w:t>
            </w:r>
          </w:p>
        </w:tc>
      </w:tr>
      <w:tr w:rsidR="00614B5E">
        <w:trPr>
          <w:trHeight w:val="609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6"/>
              <w:ind w:left="221"/>
            </w:pPr>
            <w:r>
              <w:rPr>
                <w:spacing w:val="-5"/>
              </w:rPr>
              <w:t>3.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2"/>
              <w:ind w:left="110"/>
            </w:pPr>
            <w:r>
              <w:t>Profil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studiów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7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ogólnoakademicki</w:t>
            </w:r>
            <w:proofErr w:type="spellEnd"/>
          </w:p>
        </w:tc>
      </w:tr>
      <w:tr w:rsidR="00614B5E">
        <w:trPr>
          <w:trHeight w:val="697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4.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4"/>
              <w:ind w:left="110"/>
            </w:pPr>
            <w:r>
              <w:t>Forma</w:t>
            </w:r>
            <w:r>
              <w:rPr>
                <w:spacing w:val="-4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t>formy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studiów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stacjonarne/niestacjonarne</w:t>
            </w:r>
          </w:p>
        </w:tc>
      </w:tr>
      <w:tr w:rsidR="00614B5E">
        <w:trPr>
          <w:trHeight w:val="700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1"/>
              <w:ind w:left="221"/>
            </w:pPr>
            <w:r>
              <w:rPr>
                <w:spacing w:val="-5"/>
              </w:rPr>
              <w:t>5.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2"/>
              <w:ind w:left="110"/>
            </w:pPr>
            <w:r>
              <w:t>Liczba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semestrów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1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614B5E">
        <w:trPr>
          <w:trHeight w:val="993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6.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6" w:line="237" w:lineRule="auto"/>
              <w:ind w:left="110"/>
            </w:pPr>
            <w:r>
              <w:t>Liczba</w:t>
            </w:r>
            <w:r>
              <w:rPr>
                <w:spacing w:val="-11"/>
              </w:rPr>
              <w:t xml:space="preserve"> </w:t>
            </w:r>
            <w:r>
              <w:t>punktów</w:t>
            </w:r>
            <w:r>
              <w:rPr>
                <w:spacing w:val="-9"/>
              </w:rPr>
              <w:t xml:space="preserve"> </w:t>
            </w:r>
            <w:r>
              <w:t>ECTS</w:t>
            </w:r>
            <w:r>
              <w:rPr>
                <w:spacing w:val="-11"/>
              </w:rPr>
              <w:t xml:space="preserve"> </w:t>
            </w:r>
            <w:r>
              <w:t>konieczna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ukończenia studiów na danym poziomie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136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213</w:t>
            </w:r>
          </w:p>
        </w:tc>
      </w:tr>
      <w:tr w:rsidR="00614B5E">
        <w:trPr>
          <w:trHeight w:val="700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7.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4"/>
              <w:ind w:left="110"/>
            </w:pPr>
            <w:r>
              <w:t>Tytuł</w:t>
            </w:r>
            <w:r>
              <w:rPr>
                <w:spacing w:val="-2"/>
              </w:rPr>
              <w:t xml:space="preserve"> zawodowy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inżynier</w:t>
            </w:r>
          </w:p>
        </w:tc>
      </w:tr>
      <w:tr w:rsidR="00614B5E">
        <w:trPr>
          <w:trHeight w:val="3441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8.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4"/>
              <w:ind w:left="110" w:right="27"/>
              <w:jc w:val="both"/>
            </w:pPr>
            <w:r>
              <w:t>Przyporządkowanie kierunku studiów do dziedziny nauki i dyscypliny naukowej lub artystycznej, (określenie procentowego udziału w przypadku przyporządkowania kierunku studiów do więcej niż jednej dyscypliny oraz wskazanie dyscypliny wiodącej, w ramach której będzie uzyskiwana ponad połowa efektów uczenia się)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555" w:right="1036" w:hanging="372"/>
              <w:rPr>
                <w:sz w:val="24"/>
              </w:rPr>
            </w:pPr>
            <w:r>
              <w:rPr>
                <w:sz w:val="24"/>
              </w:rPr>
              <w:t>dziedzina nauk rolniczych dyscyplina wiodąca: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rolnictwo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ogrodnictwo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53%</w:t>
            </w:r>
          </w:p>
          <w:p w:rsidR="00614B5E" w:rsidRDefault="00AF224E">
            <w:pPr>
              <w:pStyle w:val="TableParagraph"/>
              <w:spacing w:before="120"/>
              <w:ind w:left="377" w:right="647" w:hanging="195"/>
              <w:rPr>
                <w:sz w:val="24"/>
              </w:rPr>
            </w:pPr>
            <w:r>
              <w:rPr>
                <w:sz w:val="24"/>
              </w:rPr>
              <w:t>dziedzina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nauk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inżynieryjno- </w:t>
            </w:r>
            <w:r>
              <w:rPr>
                <w:spacing w:val="-2"/>
                <w:sz w:val="24"/>
              </w:rPr>
              <w:t>technicznych</w:t>
            </w:r>
          </w:p>
          <w:p w:rsidR="00614B5E" w:rsidRDefault="00AF224E">
            <w:pPr>
              <w:pStyle w:val="TableParagraph"/>
              <w:spacing w:before="60"/>
              <w:ind w:left="555"/>
              <w:rPr>
                <w:sz w:val="24"/>
              </w:rPr>
            </w:pPr>
            <w:r>
              <w:rPr>
                <w:sz w:val="24"/>
              </w:rPr>
              <w:t>dyscyplina: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inżynieria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środowiska, górnictwo i energetyka - 25%</w:t>
            </w:r>
          </w:p>
          <w:p w:rsidR="00614B5E" w:rsidRDefault="00AF224E">
            <w:pPr>
              <w:pStyle w:val="TableParagraph"/>
              <w:spacing w:before="122"/>
              <w:ind w:left="555" w:hanging="303"/>
              <w:rPr>
                <w:sz w:val="24"/>
              </w:rPr>
            </w:pPr>
            <w:r>
              <w:rPr>
                <w:sz w:val="24"/>
              </w:rPr>
              <w:t>dziedzina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nauk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ścisłych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przyrodniczych dyscyplina: nauki biologiczne - 22 %</w:t>
            </w:r>
          </w:p>
          <w:p w:rsidR="00614B5E" w:rsidRDefault="00AF224E">
            <w:pPr>
              <w:pStyle w:val="TableParagraph"/>
              <w:spacing w:before="98"/>
              <w:ind w:left="1527"/>
              <w:rPr>
                <w:b/>
                <w:sz w:val="24"/>
              </w:rPr>
            </w:pPr>
            <w:r>
              <w:rPr>
                <w:b/>
                <w:sz w:val="24"/>
              </w:rPr>
              <w:t>Ogółem: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100%</w:t>
            </w:r>
          </w:p>
        </w:tc>
      </w:tr>
      <w:tr w:rsidR="00614B5E">
        <w:trPr>
          <w:trHeight w:val="1550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9.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4"/>
              <w:ind w:left="110" w:right="28"/>
              <w:jc w:val="both"/>
            </w:pPr>
            <w:r>
              <w:t>Różnice w stosunku do innych programów</w:t>
            </w:r>
            <w:r>
              <w:rPr>
                <w:spacing w:val="-4"/>
              </w:rPr>
              <w:t xml:space="preserve"> </w:t>
            </w:r>
            <w:r>
              <w:t>o podobnie</w:t>
            </w:r>
            <w:r>
              <w:rPr>
                <w:spacing w:val="40"/>
              </w:rPr>
              <w:t xml:space="preserve"> </w:t>
            </w:r>
            <w:r>
              <w:t>zdefiniowanych</w:t>
            </w:r>
            <w:r>
              <w:rPr>
                <w:spacing w:val="40"/>
              </w:rPr>
              <w:t xml:space="preserve"> </w:t>
            </w:r>
            <w:r>
              <w:t>celach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efektach</w:t>
            </w:r>
            <w:r>
              <w:rPr>
                <w:spacing w:val="80"/>
              </w:rPr>
              <w:t xml:space="preserve"> </w:t>
            </w:r>
            <w:r>
              <w:t>uczenia się, prowadzonych w Uczelni i przypisanych do tej samej dyscypliny</w:t>
            </w:r>
          </w:p>
        </w:tc>
        <w:tc>
          <w:tcPr>
            <w:tcW w:w="4539" w:type="dxa"/>
          </w:tcPr>
          <w:p w:rsidR="00614B5E" w:rsidRDefault="00AF224E">
            <w:pPr>
              <w:pStyle w:val="TableParagraph"/>
              <w:spacing w:before="54"/>
              <w:ind w:left="111" w:right="647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Uczelni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kierunku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podobnie zdefiniowanych efektach uczenia się przypisanych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tych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samych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dziedzin i dyscyplin i takim samym profilu </w:t>
            </w:r>
            <w:r>
              <w:rPr>
                <w:spacing w:val="-2"/>
                <w:sz w:val="24"/>
              </w:rPr>
              <w:t>absolwenta</w:t>
            </w:r>
          </w:p>
        </w:tc>
      </w:tr>
      <w:tr w:rsidR="00614B5E">
        <w:trPr>
          <w:trHeight w:val="2908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3"/>
              <w:ind w:left="221"/>
            </w:pPr>
            <w:r>
              <w:rPr>
                <w:spacing w:val="-5"/>
              </w:rPr>
              <w:t>10.</w:t>
            </w:r>
          </w:p>
        </w:tc>
        <w:tc>
          <w:tcPr>
            <w:tcW w:w="9500" w:type="dxa"/>
            <w:gridSpan w:val="2"/>
          </w:tcPr>
          <w:p w:rsidR="00614B5E" w:rsidRDefault="00AF224E">
            <w:pPr>
              <w:pStyle w:val="TableParagraph"/>
              <w:spacing w:before="54"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Opis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sylwetki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absolwenta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obejmujący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opis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ogólnych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celów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kształcenia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oraz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możliwości zatrudnienia i kontynuacji studiów</w:t>
            </w:r>
          </w:p>
          <w:p w:rsidR="00614B5E" w:rsidRDefault="00AF224E" w:rsidP="00B7714F">
            <w:pPr>
              <w:pStyle w:val="TableParagraph"/>
              <w:spacing w:before="114"/>
              <w:ind w:left="110" w:right="177"/>
              <w:jc w:val="both"/>
              <w:rPr>
                <w:sz w:val="23"/>
              </w:rPr>
            </w:pPr>
            <w:r>
              <w:rPr>
                <w:sz w:val="23"/>
              </w:rPr>
              <w:t>Absolwent posiada wiedzę ogólną z zakresu nauk rolniczych, inżynieryjno-technicznych i biologicznych oraz umiejętność wykorzystania tej wiedzy w pracy zawodowej, w tym do planowania i rozwiązywania zadań inżynierskich, z zachowaniem zasad prawnych i etycznych. Zna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podstawowe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procesy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problemy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istotne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dla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ochrony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środowiska.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Potrafi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analizować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procesy zachodzące w przyrodzie oraz oceniać wpływ człowieka na środowisko. Rozumie potrzebę racjonalnego gospodarowania zasobami naturalnymi. Potrafi dobrać i zastosować odpowiednie metody, techniki i narzędzia badawcze do analizy oraz oceny zagrożeń środowiska.</w:t>
            </w:r>
          </w:p>
        </w:tc>
      </w:tr>
    </w:tbl>
    <w:p w:rsidR="00614B5E" w:rsidRDefault="00614B5E">
      <w:pPr>
        <w:rPr>
          <w:sz w:val="23"/>
        </w:rPr>
        <w:sectPr w:rsidR="00614B5E">
          <w:type w:val="continuous"/>
          <w:pgSz w:w="11930" w:h="16850"/>
          <w:pgMar w:top="1380" w:right="620" w:bottom="280" w:left="800" w:header="708" w:footer="708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4961"/>
        <w:gridCol w:w="4536"/>
      </w:tblGrid>
      <w:tr w:rsidR="00614B5E">
        <w:trPr>
          <w:trHeight w:val="3770"/>
        </w:trPr>
        <w:tc>
          <w:tcPr>
            <w:tcW w:w="533" w:type="dxa"/>
          </w:tcPr>
          <w:p w:rsidR="00614B5E" w:rsidRDefault="00614B5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97" w:type="dxa"/>
            <w:gridSpan w:val="2"/>
          </w:tcPr>
          <w:p w:rsidR="00614B5E" w:rsidRDefault="00AF224E" w:rsidP="00B7714F">
            <w:pPr>
              <w:pStyle w:val="TableParagraph"/>
              <w:spacing w:before="55" w:line="280" w:lineRule="exact"/>
              <w:ind w:left="50"/>
              <w:jc w:val="both"/>
              <w:rPr>
                <w:sz w:val="23"/>
              </w:rPr>
            </w:pPr>
            <w:r>
              <w:rPr>
                <w:sz w:val="23"/>
              </w:rPr>
              <w:t>Jest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przygotowany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samodzielnego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prowadzenia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badań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naukowych.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Potrafi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korzystać</w:t>
            </w:r>
          </w:p>
          <w:p w:rsidR="00614B5E" w:rsidRDefault="00AF224E" w:rsidP="00B7714F">
            <w:pPr>
              <w:pStyle w:val="TableParagraph"/>
              <w:ind w:left="50" w:right="501"/>
              <w:jc w:val="both"/>
              <w:rPr>
                <w:sz w:val="23"/>
              </w:rPr>
            </w:pPr>
            <w:r>
              <w:rPr>
                <w:sz w:val="23"/>
              </w:rPr>
              <w:t>z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fachowej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literatury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innych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źródeł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informacji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interpretowania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rozwiązywania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problemów z</w:t>
            </w:r>
            <w:r>
              <w:rPr>
                <w:spacing w:val="80"/>
                <w:w w:val="150"/>
                <w:sz w:val="23"/>
              </w:rPr>
              <w:t xml:space="preserve"> </w:t>
            </w:r>
            <w:r>
              <w:rPr>
                <w:sz w:val="23"/>
              </w:rPr>
              <w:t>zakresu ochrony przyrody i środowiska. Zna język obcy na poziomie B2 Europejskiego</w:t>
            </w:r>
          </w:p>
          <w:p w:rsidR="00614B5E" w:rsidRDefault="00AF224E" w:rsidP="00B7714F">
            <w:pPr>
              <w:pStyle w:val="TableParagraph"/>
              <w:spacing w:before="56" w:line="288" w:lineRule="auto"/>
              <w:ind w:left="50" w:right="250"/>
              <w:jc w:val="both"/>
              <w:rPr>
                <w:sz w:val="23"/>
              </w:rPr>
            </w:pPr>
            <w:r>
              <w:rPr>
                <w:sz w:val="23"/>
              </w:rPr>
              <w:t>Systemu Opisu Kształcenia Językowego Rady Europy oraz posługuje się językiem specjalistycznym z zakresu ochrony środowiska. Stosuje technologie informatyczne w zakresie pozyskiwania, gromadzenia, przetwarzania i prezentacji danych. Jest gotowy do pogłębiania wiedzy z zakresu ochrony środowiska i jest przygotowany do kontynuacji kształcenia na studiach II stopnia lub/i studiach podyplomowych. Absolwent jest również przygotowany do podjęcia pracy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zawodowej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placówkach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naukowych,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laboratoriach,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w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urzędach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administracji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państwowej i samorządowej oraz w instytucjach, których działalność związana jest ochroną i kształtowaniem środowiska przyrodniczego oraz z edukacją ekologiczną.</w:t>
            </w:r>
          </w:p>
        </w:tc>
      </w:tr>
      <w:tr w:rsidR="00614B5E">
        <w:trPr>
          <w:trHeight w:val="607"/>
        </w:trPr>
        <w:tc>
          <w:tcPr>
            <w:tcW w:w="533" w:type="dxa"/>
          </w:tcPr>
          <w:p w:rsidR="00614B5E" w:rsidRDefault="00AF224E">
            <w:pPr>
              <w:pStyle w:val="TableParagraph"/>
              <w:spacing w:before="74"/>
              <w:ind w:left="220"/>
            </w:pPr>
            <w:r>
              <w:rPr>
                <w:spacing w:val="-5"/>
              </w:rPr>
              <w:t>11.</w:t>
            </w:r>
          </w:p>
        </w:tc>
        <w:tc>
          <w:tcPr>
            <w:tcW w:w="4961" w:type="dxa"/>
          </w:tcPr>
          <w:p w:rsidR="00614B5E" w:rsidRDefault="00AF224E">
            <w:pPr>
              <w:pStyle w:val="TableParagraph"/>
              <w:spacing w:before="55"/>
              <w:ind w:left="110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prowadzonych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studiów</w:t>
            </w:r>
          </w:p>
        </w:tc>
        <w:tc>
          <w:tcPr>
            <w:tcW w:w="4536" w:type="dxa"/>
          </w:tcPr>
          <w:p w:rsidR="00614B5E" w:rsidRDefault="00AF224E">
            <w:pPr>
              <w:pStyle w:val="TableParagraph"/>
              <w:spacing w:before="55"/>
              <w:ind w:left="111"/>
              <w:rPr>
                <w:sz w:val="24"/>
              </w:rPr>
            </w:pPr>
            <w:r>
              <w:rPr>
                <w:sz w:val="24"/>
              </w:rPr>
              <w:t>język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polski</w:t>
            </w:r>
          </w:p>
        </w:tc>
      </w:tr>
    </w:tbl>
    <w:p w:rsidR="008A5A13" w:rsidRDefault="008A5A13" w:rsidP="008A5A13">
      <w:pPr>
        <w:ind w:left="4962"/>
        <w:jc w:val="center"/>
        <w:rPr>
          <w:sz w:val="24"/>
          <w:szCs w:val="24"/>
        </w:rPr>
      </w:pPr>
    </w:p>
    <w:p w:rsidR="008A5A13" w:rsidRDefault="008A5A13" w:rsidP="008A5A13">
      <w:pPr>
        <w:ind w:left="4962"/>
        <w:jc w:val="center"/>
        <w:rPr>
          <w:sz w:val="24"/>
          <w:szCs w:val="24"/>
        </w:rPr>
      </w:pPr>
      <w:r w:rsidRPr="005040F7">
        <w:rPr>
          <w:sz w:val="24"/>
          <w:szCs w:val="24"/>
        </w:rPr>
        <w:t>Przewodniczący Senatu</w:t>
      </w:r>
      <w:r w:rsidRPr="005040F7">
        <w:rPr>
          <w:sz w:val="24"/>
          <w:szCs w:val="24"/>
        </w:rPr>
        <w:br/>
        <w:t>Uniwersytetu Rzeszowskiego</w:t>
      </w:r>
      <w:r w:rsidRPr="005040F7">
        <w:rPr>
          <w:sz w:val="24"/>
          <w:szCs w:val="24"/>
        </w:rPr>
        <w:br/>
      </w:r>
    </w:p>
    <w:p w:rsidR="008A5A13" w:rsidRPr="005040F7" w:rsidRDefault="008A5A13" w:rsidP="008A5A13">
      <w:pPr>
        <w:ind w:left="4962"/>
        <w:jc w:val="center"/>
        <w:rPr>
          <w:sz w:val="24"/>
          <w:szCs w:val="24"/>
        </w:rPr>
      </w:pPr>
    </w:p>
    <w:p w:rsidR="008A5A13" w:rsidRDefault="008A5A13" w:rsidP="008A5A13">
      <w:pPr>
        <w:ind w:left="4962"/>
        <w:jc w:val="center"/>
      </w:pPr>
      <w:r w:rsidRPr="005040F7">
        <w:rPr>
          <w:sz w:val="24"/>
          <w:szCs w:val="24"/>
        </w:rPr>
        <w:t>Prof. dr hab. Sylwester Czopek</w:t>
      </w:r>
      <w:r w:rsidRPr="005040F7">
        <w:rPr>
          <w:sz w:val="24"/>
          <w:szCs w:val="24"/>
        </w:rPr>
        <w:br/>
        <w:t>Rektor</w:t>
      </w:r>
    </w:p>
    <w:p w:rsidR="00614B5E" w:rsidRDefault="00614B5E">
      <w:pPr>
        <w:pStyle w:val="Tekstpodstawowy"/>
        <w:spacing w:before="238"/>
        <w:rPr>
          <w:i/>
          <w:sz w:val="24"/>
        </w:rPr>
      </w:pPr>
    </w:p>
    <w:sectPr w:rsidR="00614B5E" w:rsidSect="00AF224E">
      <w:pgSz w:w="11910" w:h="16840"/>
      <w:pgMar w:top="1480" w:right="92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012"/>
    <w:multiLevelType w:val="hybridMultilevel"/>
    <w:tmpl w:val="7136A914"/>
    <w:lvl w:ilvl="0" w:tplc="DE786572">
      <w:start w:val="1"/>
      <w:numFmt w:val="decimal"/>
      <w:lvlText w:val="%1."/>
      <w:lvlJc w:val="left"/>
      <w:pPr>
        <w:ind w:left="653" w:hanging="356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4CE8C414">
      <w:numFmt w:val="bullet"/>
      <w:lvlText w:val="•"/>
      <w:lvlJc w:val="left"/>
      <w:pPr>
        <w:ind w:left="1619" w:hanging="356"/>
      </w:pPr>
      <w:rPr>
        <w:rFonts w:hint="default"/>
        <w:lang w:val="pl-PL" w:eastAsia="en-US" w:bidi="ar-SA"/>
      </w:rPr>
    </w:lvl>
    <w:lvl w:ilvl="2" w:tplc="AA0AD2BE">
      <w:numFmt w:val="bullet"/>
      <w:lvlText w:val="•"/>
      <w:lvlJc w:val="left"/>
      <w:pPr>
        <w:ind w:left="2578" w:hanging="356"/>
      </w:pPr>
      <w:rPr>
        <w:rFonts w:hint="default"/>
        <w:lang w:val="pl-PL" w:eastAsia="en-US" w:bidi="ar-SA"/>
      </w:rPr>
    </w:lvl>
    <w:lvl w:ilvl="3" w:tplc="5B0AE4A0">
      <w:numFmt w:val="bullet"/>
      <w:lvlText w:val="•"/>
      <w:lvlJc w:val="left"/>
      <w:pPr>
        <w:ind w:left="3537" w:hanging="356"/>
      </w:pPr>
      <w:rPr>
        <w:rFonts w:hint="default"/>
        <w:lang w:val="pl-PL" w:eastAsia="en-US" w:bidi="ar-SA"/>
      </w:rPr>
    </w:lvl>
    <w:lvl w:ilvl="4" w:tplc="63D2E4A4">
      <w:numFmt w:val="bullet"/>
      <w:lvlText w:val="•"/>
      <w:lvlJc w:val="left"/>
      <w:pPr>
        <w:ind w:left="4496" w:hanging="356"/>
      </w:pPr>
      <w:rPr>
        <w:rFonts w:hint="default"/>
        <w:lang w:val="pl-PL" w:eastAsia="en-US" w:bidi="ar-SA"/>
      </w:rPr>
    </w:lvl>
    <w:lvl w:ilvl="5" w:tplc="E39A5168">
      <w:numFmt w:val="bullet"/>
      <w:lvlText w:val="•"/>
      <w:lvlJc w:val="left"/>
      <w:pPr>
        <w:ind w:left="5455" w:hanging="356"/>
      </w:pPr>
      <w:rPr>
        <w:rFonts w:hint="default"/>
        <w:lang w:val="pl-PL" w:eastAsia="en-US" w:bidi="ar-SA"/>
      </w:rPr>
    </w:lvl>
    <w:lvl w:ilvl="6" w:tplc="78C6D8B8">
      <w:numFmt w:val="bullet"/>
      <w:lvlText w:val="•"/>
      <w:lvlJc w:val="left"/>
      <w:pPr>
        <w:ind w:left="6414" w:hanging="356"/>
      </w:pPr>
      <w:rPr>
        <w:rFonts w:hint="default"/>
        <w:lang w:val="pl-PL" w:eastAsia="en-US" w:bidi="ar-SA"/>
      </w:rPr>
    </w:lvl>
    <w:lvl w:ilvl="7" w:tplc="CA7EF31C">
      <w:numFmt w:val="bullet"/>
      <w:lvlText w:val="•"/>
      <w:lvlJc w:val="left"/>
      <w:pPr>
        <w:ind w:left="7373" w:hanging="356"/>
      </w:pPr>
      <w:rPr>
        <w:rFonts w:hint="default"/>
        <w:lang w:val="pl-PL" w:eastAsia="en-US" w:bidi="ar-SA"/>
      </w:rPr>
    </w:lvl>
    <w:lvl w:ilvl="8" w:tplc="101E937E">
      <w:numFmt w:val="bullet"/>
      <w:lvlText w:val="•"/>
      <w:lvlJc w:val="left"/>
      <w:pPr>
        <w:ind w:left="8332" w:hanging="35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5E"/>
    <w:rsid w:val="00614B5E"/>
    <w:rsid w:val="008A5A13"/>
    <w:rsid w:val="00AF224E"/>
    <w:rsid w:val="00B7714F"/>
    <w:rsid w:val="00E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40C5"/>
  <w15:docId w15:val="{BE436D11-D71B-4C9D-8978-42DB3151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orbel" w:eastAsia="Corbel" w:hAnsi="Corbel" w:cs="Corbel"/>
      <w:lang w:val="pl-PL"/>
    </w:rPr>
  </w:style>
  <w:style w:type="paragraph" w:styleId="Nagwek1">
    <w:name w:val="heading 1"/>
    <w:basedOn w:val="Normalny"/>
    <w:uiPriority w:val="9"/>
    <w:qFormat/>
    <w:pPr>
      <w:ind w:left="216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2024-04-19T07:54:00Z</dcterms:created>
  <dcterms:modified xsi:type="dcterms:W3CDTF">2024-05-08T12:25:00Z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2024-04-19T00:00:00Z</vt:filetime>
  </property>
  <property fmtid="{D5CDD505-2E9C-101B-9397-08002B2CF9AE}" pid="3" name="Producer">
    <vt:lpwstr>iLovePDF</vt:lpwstr>
  </property>
</Properties>
</file>