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71C" w:rsidRDefault="0049771C" w:rsidP="0049771C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12.1. do Uchwały nr …/04/2025 Senatu UR</w:t>
      </w:r>
      <w:r>
        <w:rPr>
          <w:rFonts w:ascii="Corbel" w:hAnsi="Corbel"/>
          <w:i/>
        </w:rPr>
        <w:br/>
        <w:t>z dnia 28 kwietnia 2025 r.</w:t>
      </w:r>
    </w:p>
    <w:p w:rsidR="0049771C" w:rsidRPr="0062403F" w:rsidRDefault="0049771C" w:rsidP="0049771C">
      <w:pPr>
        <w:spacing w:after="199"/>
        <w:ind w:left="4537"/>
        <w:rPr>
          <w:rFonts w:ascii="Corbel" w:hAnsi="Corbel"/>
        </w:rPr>
      </w:pPr>
    </w:p>
    <w:p w:rsidR="0049771C" w:rsidRDefault="0049771C" w:rsidP="0049771C">
      <w:pPr>
        <w:pStyle w:val="Nagwek1"/>
        <w:spacing w:after="118"/>
        <w:ind w:left="1079" w:firstLine="0"/>
        <w:jc w:val="center"/>
      </w:pPr>
      <w:r w:rsidRPr="0062403F">
        <w:t xml:space="preserve">OGÓLNE INFORMACJE O KIERUNKU STUDIÓW </w:t>
      </w:r>
    </w:p>
    <w:p w:rsidR="0049771C" w:rsidRPr="0062403F" w:rsidRDefault="0049771C" w:rsidP="0049771C">
      <w:pPr>
        <w:pStyle w:val="Nagwek1"/>
        <w:spacing w:after="118"/>
        <w:ind w:left="1079" w:firstLine="0"/>
        <w:jc w:val="center"/>
      </w:pPr>
      <w:r w:rsidRPr="0062403F">
        <w:rPr>
          <w:sz w:val="18"/>
        </w:rPr>
        <w:t xml:space="preserve"> </w:t>
      </w:r>
    </w:p>
    <w:p w:rsidR="0049771C" w:rsidRPr="00AB0D57" w:rsidRDefault="0049771C" w:rsidP="0049771C">
      <w:pPr>
        <w:spacing w:after="99"/>
        <w:ind w:left="1080"/>
        <w:jc w:val="center"/>
        <w:rPr>
          <w:rFonts w:ascii="Corbel" w:hAnsi="Corbel"/>
          <w:color w:val="auto"/>
        </w:rPr>
      </w:pPr>
      <w:r w:rsidRPr="0062403F">
        <w:rPr>
          <w:rFonts w:ascii="Corbel" w:eastAsia="Corbel" w:hAnsi="Corbel" w:cs="Corbel"/>
          <w:b/>
          <w:i/>
          <w:sz w:val="24"/>
        </w:rPr>
        <w:t xml:space="preserve">Obowiązuje od roku </w:t>
      </w:r>
      <w:r w:rsidRPr="00AB0D57">
        <w:rPr>
          <w:rFonts w:ascii="Corbel" w:eastAsia="Corbel" w:hAnsi="Corbel" w:cs="Corbel"/>
          <w:b/>
          <w:i/>
          <w:color w:val="auto"/>
          <w:sz w:val="24"/>
        </w:rPr>
        <w:t>akademickiego 2025/2026</w:t>
      </w:r>
    </w:p>
    <w:p w:rsidR="0049771C" w:rsidRPr="0062403F" w:rsidRDefault="0049771C" w:rsidP="0049771C">
      <w:pPr>
        <w:spacing w:after="0"/>
        <w:ind w:left="1078"/>
        <w:rPr>
          <w:rFonts w:ascii="Corbel" w:hAnsi="Corbel"/>
        </w:rPr>
      </w:pPr>
      <w:r w:rsidRPr="0062403F">
        <w:rPr>
          <w:rFonts w:ascii="Corbel" w:eastAsia="Corbel" w:hAnsi="Corbel" w:cs="Corbel"/>
          <w:sz w:val="16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3"/>
        <w:gridCol w:w="3948"/>
        <w:gridCol w:w="4591"/>
      </w:tblGrid>
      <w:tr w:rsidR="0049771C" w:rsidRPr="0062403F" w:rsidTr="00D4661D">
        <w:trPr>
          <w:trHeight w:val="617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>1.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Nazwa kierunku studiów </w:t>
            </w: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b/>
                <w:sz w:val="24"/>
                <w:szCs w:val="24"/>
              </w:rPr>
              <w:t>Technologia żywności i żywienie człowieka</w:t>
            </w:r>
          </w:p>
        </w:tc>
      </w:tr>
      <w:tr w:rsidR="0049771C" w:rsidRPr="0062403F" w:rsidTr="00D4661D">
        <w:trPr>
          <w:trHeight w:val="617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>2.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Poziom studiów </w:t>
            </w: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studia </w:t>
            </w:r>
            <w:r w:rsidRPr="0062403F">
              <w:rPr>
                <w:rFonts w:ascii="Corbel" w:eastAsia="Corbel" w:hAnsi="Corbel" w:cs="Corbel"/>
                <w:b/>
                <w:sz w:val="24"/>
                <w:szCs w:val="24"/>
              </w:rPr>
              <w:t>pierwszego stopnia</w:t>
            </w:r>
          </w:p>
        </w:tc>
      </w:tr>
      <w:tr w:rsidR="0049771C" w:rsidRPr="0062403F" w:rsidTr="00D4661D">
        <w:trPr>
          <w:trHeight w:val="617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>3.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Profil studiów </w:t>
            </w: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2403F">
              <w:rPr>
                <w:rFonts w:ascii="Corbel" w:eastAsia="Corbel" w:hAnsi="Corbel" w:cs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49771C" w:rsidRPr="0062403F" w:rsidTr="00D4661D">
        <w:trPr>
          <w:trHeight w:val="71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>4.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Forma lub formy studiów </w:t>
            </w: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>stacjonarne/niestacjonarne</w:t>
            </w:r>
          </w:p>
        </w:tc>
      </w:tr>
      <w:tr w:rsidR="0049771C" w:rsidRPr="0062403F" w:rsidTr="00D4661D">
        <w:trPr>
          <w:trHeight w:val="708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>5.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Liczba semestrów </w:t>
            </w: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b/>
                <w:sz w:val="24"/>
                <w:szCs w:val="24"/>
              </w:rPr>
              <w:t>7</w:t>
            </w:r>
          </w:p>
        </w:tc>
      </w:tr>
      <w:tr w:rsidR="0049771C" w:rsidRPr="0062403F" w:rsidTr="00D4661D">
        <w:trPr>
          <w:trHeight w:val="71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>6.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Liczba punktów ECTS konieczna do ukończenia studiów na danym poziomie </w:t>
            </w: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b/>
                <w:sz w:val="24"/>
                <w:szCs w:val="24"/>
              </w:rPr>
              <w:t>210</w:t>
            </w:r>
          </w:p>
        </w:tc>
      </w:tr>
      <w:tr w:rsidR="0049771C" w:rsidRPr="0062403F" w:rsidTr="00D4661D">
        <w:trPr>
          <w:trHeight w:val="71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>7.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Tytuł zawodowy </w:t>
            </w: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b/>
                <w:sz w:val="24"/>
                <w:szCs w:val="24"/>
              </w:rPr>
              <w:t>inżynier</w:t>
            </w:r>
          </w:p>
        </w:tc>
      </w:tr>
      <w:tr w:rsidR="0049771C" w:rsidRPr="0062403F" w:rsidTr="00D4661D">
        <w:trPr>
          <w:trHeight w:val="2331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>8.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both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Przyporządkowanie kierunku studiów do dziedziny nauki i dyscypliny naukowej lub artystycznej, (określenie procentowego udziału w przypadku przyporządkowania kierunku studiów do więcej niż jednej dyscypliny oraz wskazanie dyscypliny wiodącej, w ramach której będzie uzyskiwana ponad połowa efektów uczenia się) </w:t>
            </w: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spacing w:line="289" w:lineRule="auto"/>
              <w:ind w:left="57" w:right="57"/>
              <w:jc w:val="both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Dziedzina nauk rolniczych dyscyplina wiodąca: </w:t>
            </w:r>
          </w:p>
          <w:p w:rsidR="0049771C" w:rsidRPr="0062403F" w:rsidRDefault="0049771C" w:rsidP="00D4661D">
            <w:pPr>
              <w:ind w:left="57" w:right="57"/>
              <w:jc w:val="both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 technologia żywności i żywienia - 100 % </w:t>
            </w:r>
          </w:p>
        </w:tc>
      </w:tr>
      <w:tr w:rsidR="0049771C" w:rsidRPr="0062403F" w:rsidTr="00D4661D">
        <w:trPr>
          <w:trHeight w:val="13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1C" w:rsidRPr="0062403F" w:rsidRDefault="0049771C" w:rsidP="00D4661D">
            <w:pPr>
              <w:ind w:left="57" w:right="57"/>
              <w:jc w:val="center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>9.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spacing w:line="239" w:lineRule="auto"/>
              <w:ind w:left="57" w:right="57"/>
              <w:jc w:val="both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Różnice w stosunku do innych programów o podobnie zdefiniowanych celach i efektach uczenia się, prowadzonych w Uczelni i przypisanych do tej samej dyscypliny </w:t>
            </w: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jc w:val="both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W uczelni nie ma kierunku o podobnie zdefiniowanych efektach i podobnym profilu absolwenta </w:t>
            </w:r>
          </w:p>
        </w:tc>
      </w:tr>
      <w:tr w:rsidR="0049771C" w:rsidRPr="0062403F" w:rsidTr="00D4661D">
        <w:trPr>
          <w:trHeight w:val="7871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71C" w:rsidRPr="0062403F" w:rsidRDefault="0049771C" w:rsidP="00D4661D">
            <w:pPr>
              <w:ind w:left="57" w:right="57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73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71C" w:rsidRPr="0062403F" w:rsidRDefault="0049771C" w:rsidP="00D4661D">
            <w:pPr>
              <w:spacing w:after="120"/>
              <w:ind w:left="57" w:right="57"/>
              <w:jc w:val="both"/>
              <w:rPr>
                <w:rFonts w:ascii="Corbel" w:eastAsia="Corbel" w:hAnsi="Corbel" w:cs="Corbel"/>
                <w:b/>
                <w:bCs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 xml:space="preserve">Opis sylwetki absolwenta obejmujący opis ogólnych celów kształcenia oraz możliwości zatrudnienia i kontynuacji studiów </w:t>
            </w:r>
          </w:p>
          <w:p w:rsidR="0049771C" w:rsidRPr="0062403F" w:rsidRDefault="0049771C" w:rsidP="00D4661D">
            <w:pPr>
              <w:ind w:left="57" w:right="57"/>
              <w:jc w:val="both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>Absolwent posiada wiedzę z zakresu chemii żywności oraz zagadnień inżynieryjnych, technologicznych i ekonomicznych. Jest specjalistą w zakresie wytwarzania, przetwarzania, utrwalania, przechowywania, kontroli i monitorowania jakości żywności. Wiedza i umiejętności nabyte w toku studiów sprawiają, że absolwent jest przygotowany do pracy w zakładach zajmujących się przetwórstwem, dystrybucją i przechowywaniem żywności oraz żywieniem człowieka, ale także do podjęcia studiów drugiego stopnia w</w:t>
            </w:r>
            <w:r>
              <w:rPr>
                <w:rFonts w:ascii="Corbel" w:eastAsia="Corbel" w:hAnsi="Corbel" w:cs="Corbel"/>
                <w:sz w:val="24"/>
                <w:szCs w:val="24"/>
              </w:rPr>
              <w:t> </w:t>
            </w:r>
            <w:r w:rsidRPr="0062403F">
              <w:rPr>
                <w:rFonts w:ascii="Corbel" w:eastAsia="Corbel" w:hAnsi="Corbel" w:cs="Corbel"/>
                <w:sz w:val="24"/>
                <w:szCs w:val="24"/>
              </w:rPr>
              <w:t>ramach tego kierunku. Ponadto potrafi wdrażać oraz sprawować kontrolę nad procesem produkcji żywności, w oparciu o</w:t>
            </w:r>
            <w:r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 wiedzę modyfikować istniejące procesy produkcji lub proponować nowe, przyjazne dla środowiska naturalnego.  Znajomość </w:t>
            </w:r>
            <w:r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62403F">
              <w:rPr>
                <w:rFonts w:ascii="Corbel" w:eastAsia="Corbel" w:hAnsi="Corbel" w:cs="Corbel"/>
                <w:sz w:val="24"/>
                <w:szCs w:val="24"/>
              </w:rPr>
              <w:t>zagadnień inżynieryjnych sprawia, że umie zaplanować oraz zorganizować produkcję, włącznie z</w:t>
            </w:r>
            <w:r>
              <w:rPr>
                <w:rFonts w:ascii="Corbel" w:eastAsia="Corbel" w:hAnsi="Corbel" w:cs="Corbel"/>
                <w:sz w:val="24"/>
                <w:szCs w:val="24"/>
              </w:rPr>
              <w:t> </w:t>
            </w: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doborem maszyn i urządzeń, ekonomiczną kalkulacją oraz przeprowadzić ocenę efektywności podjętych działań. Zna i rozumie zasady funkcjonowania rynku rolno-spożywczego oraz mechanizmy marketingowe związane z obrotem żywności oraz żywieniem człowieka.  </w:t>
            </w:r>
          </w:p>
          <w:p w:rsidR="0049771C" w:rsidRPr="0062403F" w:rsidRDefault="0049771C" w:rsidP="00D4661D">
            <w:pPr>
              <w:ind w:left="57" w:right="57"/>
              <w:jc w:val="both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Absolwent zna </w:t>
            </w:r>
            <w:r w:rsidRPr="0062403F">
              <w:rPr>
                <w:rFonts w:ascii="Corbel" w:eastAsia="Corbel" w:hAnsi="Corbel" w:cs="Corbel"/>
                <w:color w:val="0B0906"/>
                <w:sz w:val="24"/>
                <w:szCs w:val="24"/>
              </w:rPr>
              <w:t>zasady racjonalnego żywienia człowieka</w:t>
            </w: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 oraz związek pomiędzy jakością i ilością spożywanej żywności a stanem zdrowia społeczeństwa. Ma wiedzę na temat systemów zapewnienia jakości żywności oraz potrafi je wdrażać. Ponadto dysponuje umiejętnościami z zakresu posługiwania się technikami komputerowymi w celu sterowania produkcją i przedsiębiorstwem. Kompetencje społeczne, którymi legitymuje się absolwent sprawiają, że jest gotów do poszerzania wiedzy, dostosowywania się do wymogów współczesnego rynku pracy, zakładania własnej działalności gospodarczej lub współpracy interdyscyplinarnej. </w:t>
            </w:r>
            <w:r w:rsidRPr="0062403F">
              <w:rPr>
                <w:rFonts w:ascii="Corbel" w:eastAsia="Corbel" w:hAnsi="Corbel" w:cs="Corbel"/>
                <w:color w:val="0B0906"/>
                <w:sz w:val="24"/>
                <w:szCs w:val="24"/>
              </w:rPr>
              <w:t>Jest przygotowany do pracy na stanowiskach</w:t>
            </w:r>
            <w:r w:rsidRPr="0062403F">
              <w:rPr>
                <w:rFonts w:ascii="Corbel" w:eastAsia="Corbel" w:hAnsi="Corbel" w:cs="Corbel"/>
                <w:color w:val="4E5664"/>
                <w:sz w:val="24"/>
                <w:szCs w:val="24"/>
              </w:rPr>
              <w:t xml:space="preserve"> </w:t>
            </w:r>
            <w:r w:rsidRPr="0062403F">
              <w:rPr>
                <w:rFonts w:ascii="Corbel" w:eastAsia="Corbel" w:hAnsi="Corbel" w:cs="Corbel"/>
                <w:color w:val="0B0906"/>
                <w:sz w:val="24"/>
                <w:szCs w:val="24"/>
              </w:rPr>
              <w:t>inżynierskich i</w:t>
            </w:r>
            <w:r>
              <w:rPr>
                <w:rFonts w:ascii="Corbel" w:eastAsia="Corbel" w:hAnsi="Corbel" w:cs="Corbel"/>
                <w:color w:val="0B0906"/>
                <w:sz w:val="24"/>
                <w:szCs w:val="24"/>
              </w:rPr>
              <w:t> </w:t>
            </w:r>
            <w:r w:rsidRPr="0062403F">
              <w:rPr>
                <w:rFonts w:ascii="Corbel" w:eastAsia="Corbel" w:hAnsi="Corbel" w:cs="Corbel"/>
                <w:color w:val="0B0906"/>
                <w:sz w:val="24"/>
                <w:szCs w:val="24"/>
              </w:rPr>
              <w:t xml:space="preserve">kierowniczych we wszystkich gałęziach przemysłu spożywczego.      </w:t>
            </w:r>
          </w:p>
          <w:p w:rsidR="0049771C" w:rsidRDefault="0049771C" w:rsidP="00D4661D">
            <w:pPr>
              <w:ind w:left="57" w:right="57"/>
              <w:jc w:val="both"/>
              <w:rPr>
                <w:rFonts w:ascii="Corbel" w:eastAsia="Corbel" w:hAnsi="Corbel" w:cs="Corbel"/>
                <w:strike/>
                <w:color w:val="0B0906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color w:val="0B0906"/>
                <w:sz w:val="24"/>
                <w:szCs w:val="24"/>
              </w:rPr>
              <w:t>Absolwent zna język obcy na poziomie biegłości B2 Europejskiego Systemu Opisu Kształcenia Językowego</w:t>
            </w:r>
            <w:r>
              <w:rPr>
                <w:rFonts w:ascii="Corbel" w:eastAsia="Corbel" w:hAnsi="Corbel" w:cs="Corbel"/>
                <w:color w:val="0B0906"/>
                <w:sz w:val="24"/>
                <w:szCs w:val="24"/>
              </w:rPr>
              <w:t>.</w:t>
            </w:r>
          </w:p>
          <w:p w:rsidR="0049771C" w:rsidRDefault="0049771C" w:rsidP="00D4661D">
            <w:pPr>
              <w:ind w:left="57" w:right="57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AA1462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Absolwent jest przygotowany </w:t>
            </w:r>
            <w:r w:rsidRPr="0062403F">
              <w:rPr>
                <w:rFonts w:ascii="Corbel" w:eastAsia="Corbel" w:hAnsi="Corbel" w:cs="Corbel"/>
                <w:color w:val="0B0906"/>
                <w:sz w:val="24"/>
                <w:szCs w:val="24"/>
              </w:rPr>
              <w:t>do podjęcia studiów II stopnia.</w:t>
            </w: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  <w:p w:rsidR="0049771C" w:rsidRPr="00C61C0A" w:rsidRDefault="0049771C" w:rsidP="00D4661D">
            <w:pPr>
              <w:ind w:left="57" w:right="57"/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9771C" w:rsidRPr="0062403F" w:rsidTr="00D4661D">
        <w:trPr>
          <w:trHeight w:val="43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>11.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Język prowadzonych studiów </w:t>
            </w: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71C" w:rsidRPr="0062403F" w:rsidRDefault="0049771C" w:rsidP="00D4661D">
            <w:pPr>
              <w:ind w:left="57" w:right="57"/>
              <w:rPr>
                <w:rFonts w:ascii="Corbel" w:hAnsi="Corbel"/>
                <w:sz w:val="24"/>
                <w:szCs w:val="24"/>
              </w:rPr>
            </w:pPr>
            <w:r w:rsidRPr="0062403F">
              <w:rPr>
                <w:rFonts w:ascii="Corbel" w:eastAsia="Corbel" w:hAnsi="Corbel" w:cs="Corbel"/>
                <w:sz w:val="24"/>
                <w:szCs w:val="24"/>
              </w:rPr>
              <w:t xml:space="preserve">polski </w:t>
            </w:r>
          </w:p>
        </w:tc>
      </w:tr>
    </w:tbl>
    <w:p w:rsidR="0049771C" w:rsidRDefault="0049771C" w:rsidP="0049771C">
      <w:pPr>
        <w:spacing w:after="256"/>
        <w:rPr>
          <w:rFonts w:ascii="Corbel" w:hAnsi="Corbel"/>
          <w:sz w:val="20"/>
        </w:rPr>
      </w:pPr>
      <w:r w:rsidRPr="0062403F">
        <w:rPr>
          <w:rFonts w:ascii="Corbel" w:hAnsi="Corbel"/>
          <w:sz w:val="20"/>
        </w:rPr>
        <w:t xml:space="preserve"> </w:t>
      </w:r>
    </w:p>
    <w:p w:rsidR="0049771C" w:rsidRDefault="0049771C" w:rsidP="0049771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49771C" w:rsidRDefault="0049771C" w:rsidP="0049771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49771C" w:rsidRPr="005040F7" w:rsidRDefault="0049771C" w:rsidP="0049771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49771C" w:rsidRDefault="0049771C" w:rsidP="0049771C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1C2CA9" w:rsidRDefault="001C2CA9">
      <w:bookmarkStart w:id="0" w:name="_GoBack"/>
      <w:bookmarkEnd w:id="0"/>
    </w:p>
    <w:sectPr w:rsidR="001C2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1C"/>
    <w:rsid w:val="001C2CA9"/>
    <w:rsid w:val="004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A0A09-A813-40EE-BEF4-132A9245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771C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49771C"/>
    <w:pPr>
      <w:keepNext/>
      <w:keepLines/>
      <w:spacing w:after="20"/>
      <w:ind w:left="1089" w:hanging="10"/>
      <w:outlineLvl w:val="0"/>
    </w:pPr>
    <w:rPr>
      <w:rFonts w:ascii="Corbel" w:eastAsia="Corbel" w:hAnsi="Corbel" w:cs="Corbe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71C"/>
    <w:rPr>
      <w:rFonts w:ascii="Corbel" w:eastAsia="Corbel" w:hAnsi="Corbel" w:cs="Corbel"/>
      <w:b/>
      <w:color w:val="000000"/>
      <w:sz w:val="24"/>
      <w:lang w:eastAsia="pl-PL"/>
    </w:rPr>
  </w:style>
  <w:style w:type="table" w:customStyle="1" w:styleId="TableGrid">
    <w:name w:val="TableGrid"/>
    <w:rsid w:val="0049771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2025-04-07T06:10:00Z</dcterms:created>
  <dcterms:modified xsi:type="dcterms:W3CDTF">2025-04-07T06:11:00Z</dcterms:modified>
</cp:coreProperties>
</file>