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0F6" w:rsidRPr="00C253C5" w:rsidRDefault="004B30F6" w:rsidP="005F38E0">
      <w:pPr>
        <w:jc w:val="both"/>
        <w:rPr>
          <w:rFonts w:ascii="Times New Roman" w:hAnsi="Times New Roman" w:cs="Times New Roman"/>
          <w:sz w:val="24"/>
          <w:szCs w:val="24"/>
        </w:rPr>
      </w:pPr>
    </w:p>
    <w:p w:rsidR="009337A0" w:rsidRPr="004B30F6" w:rsidRDefault="00C253C5" w:rsidP="005F38E0">
      <w:pPr>
        <w:jc w:val="both"/>
        <w:rPr>
          <w:rFonts w:ascii="Times New Roman" w:hAnsi="Times New Roman" w:cs="Times New Roman"/>
          <w:sz w:val="24"/>
          <w:szCs w:val="24"/>
        </w:rPr>
      </w:pPr>
      <w:r w:rsidRPr="00C253C5">
        <w:rPr>
          <w:rFonts w:ascii="Times New Roman" w:hAnsi="Times New Roman" w:cs="Times New Roman"/>
          <w:sz w:val="24"/>
          <w:szCs w:val="24"/>
        </w:rPr>
        <w:t xml:space="preserve">Szara, K. (2017). </w:t>
      </w:r>
      <w:r w:rsidRPr="00C253C5">
        <w:rPr>
          <w:rFonts w:ascii="Times New Roman" w:hAnsi="Times New Roman" w:cs="Times New Roman"/>
          <w:i/>
          <w:sz w:val="24"/>
          <w:szCs w:val="24"/>
        </w:rPr>
        <w:t>Uwarunkowania i możliwości aktywizacji kapitału kreatywnego jako determinanty rozwoju lokalnego na przykładzie gmin województwa podkarpackiego</w:t>
      </w:r>
      <w:r w:rsidRPr="00C253C5">
        <w:rPr>
          <w:rFonts w:ascii="Times New Roman" w:hAnsi="Times New Roman" w:cs="Times New Roman"/>
          <w:sz w:val="24"/>
          <w:szCs w:val="24"/>
        </w:rPr>
        <w:t xml:space="preserve">. </w:t>
      </w:r>
      <w:r w:rsidRPr="004B30F6">
        <w:rPr>
          <w:rFonts w:ascii="Times New Roman" w:hAnsi="Times New Roman" w:cs="Times New Roman"/>
          <w:sz w:val="24"/>
          <w:szCs w:val="24"/>
        </w:rPr>
        <w:t>Rzeszów: Wyd. UR. ISBN 978-83-7996-531-1, Ss. 338</w:t>
      </w:r>
    </w:p>
    <w:p w:rsidR="00706976" w:rsidRPr="00706976" w:rsidRDefault="00706976" w:rsidP="00706976">
      <w:pPr>
        <w:pStyle w:val="NormalnyWeb"/>
        <w:spacing w:before="0" w:beforeAutospacing="0" w:after="0" w:afterAutospacing="0"/>
        <w:ind w:firstLine="284"/>
        <w:jc w:val="both"/>
        <w:rPr>
          <w:rFonts w:eastAsiaTheme="minorHAnsi"/>
          <w:lang w:eastAsia="en-US"/>
        </w:rPr>
      </w:pPr>
      <w:r w:rsidRPr="00706976">
        <w:rPr>
          <w:rFonts w:eastAsiaTheme="minorHAnsi"/>
          <w:lang w:eastAsia="en-US"/>
        </w:rPr>
        <w:t xml:space="preserve">Kreatywność jest cechą eksponowaną w XIX wieku w różnych sferach </w:t>
      </w:r>
      <w:proofErr w:type="spellStart"/>
      <w:r w:rsidRPr="00706976">
        <w:rPr>
          <w:rFonts w:eastAsiaTheme="minorHAnsi"/>
          <w:lang w:eastAsia="en-US"/>
        </w:rPr>
        <w:t>społeczno</w:t>
      </w:r>
      <w:proofErr w:type="spellEnd"/>
      <w:r w:rsidRPr="00706976">
        <w:rPr>
          <w:rFonts w:eastAsiaTheme="minorHAnsi"/>
          <w:lang w:eastAsia="en-US"/>
        </w:rPr>
        <w:t xml:space="preserve"> – gospodarczych. Jest także główną składową kapitału kreatywnego, który w wąskim ujęciu można zdefiniować poprzez zawody zaliczane do tzw. klasy kreatywnej. Znaczenie tej klasy rozpowszechnił R. Florida wskazując na jej wpływ na rozwój gospodarczy. Kreatywne jednostki występują nie tylko na poziomie globalnym ale również na terenie lokalnym. Pozwala to na rozszerzenie definicji kapitału kreatywnego i określenie go jako zasób właściwy ludziom, którzy współpracują i funkcjonują w każdych, w tym w nowych warunkach, wykorzystując swoją kreatywność. Na rozwój wąsko rozumianego kapitału kreatywnego wpływ miały modelowo ujęte talent, tolerancja i technologia określane jako „3 T”. W miejscu, w którym te czynniki występują rozwija się klasa kreatywna. Pomiar kapitału kreatywnego przez pryzmat klasy kreatywnej i „3T” często jest utrudniony przez przyjęte w modelu parametry odnoszące się najczęściej do poziomu globalnego. W układzie lokalnym koniecznym jest modyfikacja zmiennych użytych w ocenie uwarunkowań „3T”.</w:t>
      </w:r>
    </w:p>
    <w:p w:rsidR="00706976" w:rsidRPr="00706976" w:rsidRDefault="00706976" w:rsidP="00706976">
      <w:pPr>
        <w:pStyle w:val="NormalnyWeb"/>
        <w:spacing w:before="0" w:beforeAutospacing="0" w:after="0" w:afterAutospacing="0"/>
        <w:ind w:firstLine="284"/>
        <w:jc w:val="both"/>
        <w:rPr>
          <w:rFonts w:eastAsiaTheme="minorHAnsi"/>
          <w:lang w:eastAsia="en-US"/>
        </w:rPr>
      </w:pPr>
      <w:r w:rsidRPr="00706976">
        <w:rPr>
          <w:rFonts w:eastAsiaTheme="minorHAnsi"/>
          <w:lang w:eastAsia="en-US"/>
        </w:rPr>
        <w:t xml:space="preserve">W pracy dokonano identyfikacji uwarunkowań rozwoju lokalnego wraz z określeniem możliwości rozwoju w oparciu o kapitał kreatywny. </w:t>
      </w:r>
    </w:p>
    <w:p w:rsidR="00706976" w:rsidRPr="00706976" w:rsidRDefault="00706976" w:rsidP="00706976">
      <w:pPr>
        <w:pStyle w:val="NormalnyWeb"/>
        <w:spacing w:before="0" w:beforeAutospacing="0" w:after="0" w:afterAutospacing="0"/>
        <w:jc w:val="both"/>
        <w:rPr>
          <w:rFonts w:eastAsiaTheme="minorHAnsi"/>
          <w:lang w:eastAsia="en-US"/>
        </w:rPr>
      </w:pPr>
      <w:r w:rsidRPr="00706976">
        <w:rPr>
          <w:rFonts w:eastAsiaTheme="minorHAnsi"/>
          <w:lang w:eastAsia="en-US"/>
        </w:rPr>
        <w:t xml:space="preserve">Złożoność i wielkowymiarowość podjętej problematyki pozwoliły na ocenę w obszarze wybranych pól badawczych. Zamierzeniem diagnostycznym było połączenie, jak największej liczby zagadnień w jedną syntetyczną całość. Pozwoliło to na szerszą ocenę, a jednocześnie kompleksowe ujęcie problemu kapitału kreatywnego na poziomie lokalnym. Zadanie to było następstwem rozpoznanej luki badawczej dotyczącej agregacji kapitału kreatywnego i rozwoju lokalnego. </w:t>
      </w:r>
    </w:p>
    <w:p w:rsidR="00706976" w:rsidRPr="00706976" w:rsidRDefault="00706976" w:rsidP="00706976">
      <w:pPr>
        <w:spacing w:after="0" w:line="240" w:lineRule="auto"/>
        <w:ind w:firstLine="284"/>
        <w:jc w:val="both"/>
        <w:rPr>
          <w:rFonts w:ascii="Times New Roman" w:hAnsi="Times New Roman" w:cs="Times New Roman"/>
          <w:sz w:val="24"/>
          <w:szCs w:val="24"/>
        </w:rPr>
      </w:pPr>
      <w:r w:rsidRPr="00706976">
        <w:rPr>
          <w:rFonts w:ascii="Times New Roman" w:hAnsi="Times New Roman" w:cs="Times New Roman"/>
          <w:sz w:val="24"/>
          <w:szCs w:val="24"/>
        </w:rPr>
        <w:t>Opisy teoretyczne rozwoju lokalnego zawierają szeroki katalog uwarunkowań tegoż rozwoju. Studia literatury wykazały, iż kreatywność w teoriach rozwoju występuje jako czynnik o charakterze pośrednim. Nie ma takiego znaczenia jak inne czynniki materialne lub niematerialne, jednak to właśnie ona wywiera wpływ na podejmowanie decyzji i rozwiązywanie problemów przedsiębiorców, inwestorów, społeczności lokalnej.</w:t>
      </w:r>
    </w:p>
    <w:p w:rsidR="00706976" w:rsidRPr="00706976" w:rsidRDefault="00706976" w:rsidP="00706976">
      <w:pPr>
        <w:pStyle w:val="NormalnyWeb"/>
        <w:spacing w:before="0" w:beforeAutospacing="0" w:after="0" w:afterAutospacing="0"/>
        <w:ind w:firstLine="284"/>
        <w:jc w:val="both"/>
        <w:rPr>
          <w:rFonts w:eastAsiaTheme="minorHAnsi"/>
          <w:lang w:eastAsia="en-US"/>
        </w:rPr>
      </w:pPr>
      <w:r w:rsidRPr="00706976">
        <w:rPr>
          <w:rFonts w:eastAsiaTheme="minorHAnsi"/>
          <w:lang w:eastAsia="en-US"/>
        </w:rPr>
        <w:t xml:space="preserve">Studium przypadku objęto województwo Podkarpackie, a szczególnie lokalnych jego przedstawicieli w przestrzeni terytorialnej czyli gminy. Oceniając uwarunkowania „3 T” dokonano modyfikacji zmiennych opisujących te kategorie adekwatnie do dostępnych danych. Taki zabieg był również spowodowany specyfiką warunków lokalnych i założeniem, iż nie można bezkrytycznie przenosić amerykańskich ustaleń metodycznych na grunt Polski, w tym zwłaszcza na poziom lokalny ze względu na wiele występujących różnic. </w:t>
      </w:r>
    </w:p>
    <w:p w:rsidR="00706976" w:rsidRPr="00706976" w:rsidRDefault="00706976" w:rsidP="00706976">
      <w:pPr>
        <w:pStyle w:val="NormalnyWeb"/>
        <w:spacing w:before="0" w:beforeAutospacing="0" w:after="0" w:afterAutospacing="0"/>
        <w:ind w:firstLine="284"/>
        <w:jc w:val="both"/>
        <w:rPr>
          <w:rFonts w:eastAsiaTheme="minorHAnsi"/>
          <w:lang w:eastAsia="en-US"/>
        </w:rPr>
      </w:pPr>
      <w:r w:rsidRPr="00706976">
        <w:rPr>
          <w:rFonts w:eastAsiaTheme="minorHAnsi"/>
          <w:lang w:eastAsia="en-US"/>
        </w:rPr>
        <w:t xml:space="preserve">Zróżnicowanie lokalne jest tak duże, że należy poszukiwać uwarunkowań rozwoju lokalnego w oparciu o potencjał endogenny w tym kapitał kreatywny. </w:t>
      </w:r>
    </w:p>
    <w:p w:rsidR="00706976" w:rsidRPr="00706976" w:rsidRDefault="00706976" w:rsidP="00706976">
      <w:pPr>
        <w:spacing w:after="0"/>
        <w:jc w:val="both"/>
        <w:rPr>
          <w:rFonts w:ascii="Times New Roman" w:hAnsi="Times New Roman" w:cs="Times New Roman"/>
          <w:sz w:val="24"/>
          <w:szCs w:val="24"/>
        </w:rPr>
      </w:pPr>
      <w:r w:rsidRPr="00706976">
        <w:rPr>
          <w:rFonts w:ascii="Times New Roman" w:hAnsi="Times New Roman" w:cs="Times New Roman"/>
          <w:sz w:val="24"/>
          <w:szCs w:val="24"/>
        </w:rPr>
        <w:t xml:space="preserve">W pracy przyjęto, że gmina stanowi lokalny system kreatywności rozwoju </w:t>
      </w:r>
      <w:proofErr w:type="spellStart"/>
      <w:r w:rsidRPr="00706976">
        <w:rPr>
          <w:rFonts w:ascii="Times New Roman" w:hAnsi="Times New Roman" w:cs="Times New Roman"/>
          <w:sz w:val="24"/>
          <w:szCs w:val="24"/>
        </w:rPr>
        <w:t>społeczno</w:t>
      </w:r>
      <w:proofErr w:type="spellEnd"/>
      <w:r w:rsidRPr="00706976">
        <w:rPr>
          <w:rFonts w:ascii="Times New Roman" w:hAnsi="Times New Roman" w:cs="Times New Roman"/>
          <w:sz w:val="24"/>
          <w:szCs w:val="24"/>
        </w:rPr>
        <w:t xml:space="preserve"> – gospodarczego. Tworzą go uczestnicy żyjący na tym terenie, do których między innymi można zaliczyć: przedsiębiorców, władze i pracowników urzędów gmin, społeczność lokalną. Wszyscy uczestnicy funkcjonują w pewnych warunkach, które są domeną ich gminy.</w:t>
      </w:r>
    </w:p>
    <w:p w:rsidR="00706976" w:rsidRPr="00706976" w:rsidRDefault="00706976" w:rsidP="00706976">
      <w:pPr>
        <w:spacing w:after="0"/>
        <w:jc w:val="both"/>
        <w:rPr>
          <w:rFonts w:ascii="Times New Roman" w:hAnsi="Times New Roman" w:cs="Times New Roman"/>
          <w:sz w:val="24"/>
          <w:szCs w:val="24"/>
        </w:rPr>
      </w:pPr>
      <w:r w:rsidRPr="00706976">
        <w:rPr>
          <w:rFonts w:ascii="Times New Roman" w:hAnsi="Times New Roman" w:cs="Times New Roman"/>
          <w:sz w:val="24"/>
          <w:szCs w:val="24"/>
        </w:rPr>
        <w:t>Grupowanie gmin podkarpacia metodą skupień, oparte o cechy ilościowe potwierdziło, iż rodzaj gminy tj. miejska, wiejska, miejsko – wiejska warunkował jej przynależność do danej grupy. Jednocześnie z zestawień gmin można zauważyć, że w przestrzeni lokalnej zachodzą koncentracja i dekoncentracja gmin wynikająca z ich pozycji w grupach.</w:t>
      </w:r>
    </w:p>
    <w:p w:rsidR="00706976" w:rsidRPr="00706976" w:rsidRDefault="00706976" w:rsidP="00706976">
      <w:pPr>
        <w:pStyle w:val="Akapitzlist"/>
        <w:tabs>
          <w:tab w:val="left" w:pos="284"/>
        </w:tabs>
        <w:spacing w:after="0"/>
        <w:ind w:left="0"/>
        <w:jc w:val="both"/>
        <w:rPr>
          <w:rFonts w:ascii="Times New Roman" w:hAnsi="Times New Roman" w:cs="Times New Roman"/>
          <w:sz w:val="24"/>
          <w:szCs w:val="24"/>
        </w:rPr>
      </w:pPr>
      <w:r w:rsidRPr="00706976">
        <w:rPr>
          <w:rFonts w:ascii="Times New Roman" w:hAnsi="Times New Roman" w:cs="Times New Roman"/>
          <w:sz w:val="24"/>
          <w:szCs w:val="24"/>
        </w:rPr>
        <w:lastRenderedPageBreak/>
        <w:t xml:space="preserve">Można stwierdzić, iż gminy miejskie w ocenach cech dotyczących talentu, technologii, tolerancji, współpracy, a w ujęciu ilościowym infrastruktury kultury są liderami, posiadającymi najlepsze warunki dla rozwoju kapitału kreatywnego. Jest to również potwierdzenie implikacji teoretycznych, iż lepsze warunki dla rozwoju kapitału kreatywnego posiadają miasta, w przypadku Podkarpacia przyjęto, iż są to gminy miejskie. </w:t>
      </w:r>
      <w:r w:rsidRPr="00706976">
        <w:rPr>
          <w:rFonts w:ascii="Times New Roman" w:hAnsi="Times New Roman" w:cs="Times New Roman"/>
          <w:sz w:val="24"/>
          <w:szCs w:val="24"/>
        </w:rPr>
        <w:tab/>
      </w:r>
    </w:p>
    <w:p w:rsidR="00706976" w:rsidRPr="00706976" w:rsidRDefault="00706976" w:rsidP="00706976">
      <w:pPr>
        <w:pStyle w:val="Tekstpodstawowywcity2"/>
        <w:spacing w:after="0" w:line="240" w:lineRule="auto"/>
        <w:ind w:left="0" w:firstLine="284"/>
        <w:jc w:val="both"/>
        <w:rPr>
          <w:rFonts w:eastAsiaTheme="minorHAnsi"/>
          <w:lang w:val="pl-PL" w:eastAsia="en-US"/>
        </w:rPr>
      </w:pPr>
      <w:r w:rsidRPr="00706976">
        <w:rPr>
          <w:rFonts w:eastAsiaTheme="minorHAnsi"/>
          <w:lang w:val="pl-PL" w:eastAsia="en-US"/>
        </w:rPr>
        <w:t>Związki przyczynowo – skutkowe pomiędzy analizowanymi uwarunkowaniami wskazują na zależności pomiędzy kapitałem kreatywnym a rozwojem. Zmienne objaśniające rozwój lokalny wskazały na występowanie kapitału kreatywnego w rozwoju gmin.</w:t>
      </w:r>
    </w:p>
    <w:p w:rsidR="00706976" w:rsidRPr="00706976" w:rsidRDefault="00706976" w:rsidP="00706976">
      <w:pPr>
        <w:pStyle w:val="Akapitzlist"/>
        <w:spacing w:after="0"/>
        <w:ind w:left="0"/>
        <w:jc w:val="both"/>
        <w:rPr>
          <w:rFonts w:ascii="Times New Roman" w:hAnsi="Times New Roman" w:cs="Times New Roman"/>
          <w:sz w:val="24"/>
          <w:szCs w:val="24"/>
        </w:rPr>
      </w:pPr>
      <w:r w:rsidRPr="00706976">
        <w:rPr>
          <w:rFonts w:ascii="Times New Roman" w:hAnsi="Times New Roman" w:cs="Times New Roman"/>
          <w:sz w:val="24"/>
          <w:szCs w:val="24"/>
        </w:rPr>
        <w:t>Zbudowany koncepcyjny model rozwoju kapitału kreatywnego w gminie pozwala na obserwację lokalnych możliwości, uwarunkowań. Model ten transformuje doświadczenia globalne dotyczące uwarunkowań rozwoju kapitału kreatywnego w oparciu o talent, technologię i tolerancję na poziom lokalny. Z analizy wynika, iż można ją oprzeć o lokalne zasoby takie jak przedsiębiorczość czy kultura. Jednocześnie wpływa na nie współpraca czy występująca na terenie gminy infrastruktura kultury, atmosfera społeczna czy kreatywność ludzka.</w:t>
      </w:r>
    </w:p>
    <w:p w:rsidR="00706976" w:rsidRPr="00706976" w:rsidRDefault="00706976" w:rsidP="00706976">
      <w:pPr>
        <w:pStyle w:val="Akapitzlist"/>
        <w:spacing w:after="0"/>
        <w:ind w:left="0"/>
        <w:jc w:val="both"/>
        <w:rPr>
          <w:rFonts w:ascii="Times New Roman" w:hAnsi="Times New Roman" w:cs="Times New Roman"/>
          <w:sz w:val="24"/>
          <w:szCs w:val="24"/>
        </w:rPr>
      </w:pPr>
      <w:r w:rsidRPr="00706976">
        <w:rPr>
          <w:rFonts w:ascii="Times New Roman" w:hAnsi="Times New Roman" w:cs="Times New Roman"/>
          <w:sz w:val="24"/>
          <w:szCs w:val="24"/>
        </w:rPr>
        <w:t>Modyfikacja cech opisujących uwarunkowania „3T”, pozwoliła na prezentację rzeczywistości takiej, jaka w obecnym czasie i na obecnym poziomie rozwoju lokalnego ma miejsce. Dotyczy to również kapitału kreatywnego, który można w podkarpackich gminach aktywizować i to nie tylko w gminach miejskich ale również w wiejskich. Przez identyfikacje warunków dla rozwoju kapitału kreatywnego w różnych rodzajowo gminach, zgrupowanych w typy predestynujące do rozwoju tego kapitału można stwierdzić, że stanowi on determinantę rozwoju lokalnego.</w:t>
      </w:r>
    </w:p>
    <w:p w:rsidR="00706976" w:rsidRPr="00C253C5" w:rsidRDefault="00706976" w:rsidP="00706976">
      <w:pPr>
        <w:spacing w:after="0"/>
        <w:jc w:val="both"/>
        <w:rPr>
          <w:rFonts w:ascii="Times New Roman" w:hAnsi="Times New Roman" w:cs="Times New Roman"/>
          <w:sz w:val="24"/>
          <w:szCs w:val="24"/>
        </w:rPr>
      </w:pPr>
      <w:bookmarkStart w:id="0" w:name="_GoBack"/>
      <w:bookmarkEnd w:id="0"/>
    </w:p>
    <w:sectPr w:rsidR="00706976" w:rsidRPr="00C253C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E3834"/>
    <w:multiLevelType w:val="hybridMultilevel"/>
    <w:tmpl w:val="2B1C3D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3CA0"/>
    <w:rsid w:val="00145BB4"/>
    <w:rsid w:val="00200183"/>
    <w:rsid w:val="002734A4"/>
    <w:rsid w:val="00463C55"/>
    <w:rsid w:val="004947E6"/>
    <w:rsid w:val="004B30F6"/>
    <w:rsid w:val="005F38E0"/>
    <w:rsid w:val="00633CA0"/>
    <w:rsid w:val="006A703D"/>
    <w:rsid w:val="00706976"/>
    <w:rsid w:val="008F5F15"/>
    <w:rsid w:val="009337A0"/>
    <w:rsid w:val="00C21B84"/>
    <w:rsid w:val="00C253C5"/>
    <w:rsid w:val="00CE4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9D76D"/>
  <w15:docId w15:val="{1F870F72-A056-2C46-8AA6-D0F60A5EB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53C5"/>
    <w:pPr>
      <w:spacing w:after="160" w:line="259" w:lineRule="auto"/>
      <w:ind w:left="720"/>
      <w:contextualSpacing/>
    </w:pPr>
  </w:style>
  <w:style w:type="paragraph" w:styleId="NormalnyWeb">
    <w:name w:val="Normal (Web)"/>
    <w:basedOn w:val="Normalny"/>
    <w:uiPriority w:val="99"/>
    <w:unhideWhenUsed/>
    <w:rsid w:val="00706976"/>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706976"/>
    <w:pPr>
      <w:spacing w:after="120" w:line="480" w:lineRule="auto"/>
      <w:ind w:left="283"/>
    </w:pPr>
    <w:rPr>
      <w:rFonts w:ascii="Times New Roman" w:eastAsia="Times New Roman" w:hAnsi="Times New Roman" w:cs="Times New Roman"/>
      <w:sz w:val="24"/>
      <w:szCs w:val="24"/>
      <w:lang w:val="de-DE" w:eastAsia="de-DE"/>
    </w:rPr>
  </w:style>
  <w:style w:type="character" w:customStyle="1" w:styleId="Tekstpodstawowywcity2Znak">
    <w:name w:val="Tekst podstawowy wcięty 2 Znak"/>
    <w:basedOn w:val="Domylnaczcionkaakapitu"/>
    <w:link w:val="Tekstpodstawowywcity2"/>
    <w:uiPriority w:val="99"/>
    <w:rsid w:val="00706976"/>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760</Words>
  <Characters>4561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Szara Katarzyna</cp:lastModifiedBy>
  <cp:revision>2</cp:revision>
  <dcterms:created xsi:type="dcterms:W3CDTF">2021-01-13T08:22:00Z</dcterms:created>
  <dcterms:modified xsi:type="dcterms:W3CDTF">2021-01-13T08:22:00Z</dcterms:modified>
</cp:coreProperties>
</file>