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E3B" w:rsidRPr="008B071A" w:rsidRDefault="00082727">
      <w:pPr>
        <w:rPr>
          <w:rFonts w:ascii="Corbel" w:hAnsi="Corbel"/>
          <w:b/>
        </w:rPr>
      </w:pPr>
      <w:r w:rsidRPr="008B071A">
        <w:rPr>
          <w:rFonts w:ascii="Corbel" w:hAnsi="Corbel"/>
          <w:b/>
        </w:rPr>
        <w:t xml:space="preserve">Sylwetka absolwenta </w:t>
      </w:r>
    </w:p>
    <w:p w:rsidR="0054472C" w:rsidRDefault="00082727" w:rsidP="00274610">
      <w:pPr>
        <w:spacing w:after="0"/>
        <w:rPr>
          <w:rFonts w:ascii="Corbel" w:hAnsi="Corbel"/>
          <w:b/>
        </w:rPr>
      </w:pPr>
      <w:r w:rsidRPr="008B071A">
        <w:rPr>
          <w:rFonts w:ascii="Corbel" w:hAnsi="Corbel"/>
          <w:b/>
        </w:rPr>
        <w:t xml:space="preserve">Kierunek </w:t>
      </w:r>
      <w:r w:rsidR="00274610" w:rsidRPr="008B071A">
        <w:rPr>
          <w:rFonts w:ascii="Corbel" w:hAnsi="Corbel"/>
          <w:b/>
        </w:rPr>
        <w:t>EKONOMIA</w:t>
      </w:r>
    </w:p>
    <w:p w:rsidR="00274610" w:rsidRPr="008B071A" w:rsidRDefault="0054472C" w:rsidP="00274610">
      <w:pPr>
        <w:spacing w:after="0"/>
        <w:rPr>
          <w:rFonts w:ascii="Corbel" w:hAnsi="Corbel"/>
          <w:b/>
        </w:rPr>
      </w:pPr>
      <w:r>
        <w:rPr>
          <w:rFonts w:ascii="Corbel" w:hAnsi="Corbel"/>
          <w:b/>
        </w:rPr>
        <w:t>Studia I</w:t>
      </w:r>
      <w:r w:rsidR="00073331">
        <w:rPr>
          <w:rFonts w:ascii="Corbel" w:hAnsi="Corbel"/>
          <w:b/>
        </w:rPr>
        <w:t>I</w:t>
      </w:r>
      <w:r>
        <w:rPr>
          <w:rFonts w:ascii="Corbel" w:hAnsi="Corbel"/>
          <w:b/>
        </w:rPr>
        <w:t xml:space="preserve"> stopnia, profil </w:t>
      </w:r>
      <w:proofErr w:type="spellStart"/>
      <w:r>
        <w:rPr>
          <w:rFonts w:ascii="Corbel" w:hAnsi="Corbel"/>
          <w:b/>
        </w:rPr>
        <w:t>ogólnoakademicki</w:t>
      </w:r>
      <w:proofErr w:type="spellEnd"/>
      <w:r w:rsidR="00082727" w:rsidRPr="008B071A">
        <w:rPr>
          <w:rFonts w:ascii="Corbel" w:hAnsi="Corbel"/>
          <w:b/>
        </w:rPr>
        <w:t xml:space="preserve"> </w:t>
      </w:r>
    </w:p>
    <w:p w:rsidR="0054472C" w:rsidRDefault="0054472C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073331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660D87">
        <w:rPr>
          <w:rFonts w:ascii="Corbel" w:eastAsia="Times New Roman" w:hAnsi="Corbel" w:cs="Times New Roman"/>
          <w:lang w:eastAsia="pl-PL"/>
        </w:rPr>
        <w:t>Absolwent otrzymuje gruntowne przygotowanie teoretyczne oraz umiejętności praktyczne z zakresu ekonomii pozwalające na e</w:t>
      </w:r>
      <w:r w:rsidRPr="00073331">
        <w:rPr>
          <w:rFonts w:ascii="Corbel" w:eastAsia="Times New Roman" w:hAnsi="Corbel" w:cs="Times New Roman"/>
          <w:lang w:eastAsia="pl-PL"/>
        </w:rPr>
        <w:t>lastyczn</w:t>
      </w:r>
      <w:r w:rsidRPr="00660D87">
        <w:rPr>
          <w:rFonts w:ascii="Corbel" w:eastAsia="Times New Roman" w:hAnsi="Corbel" w:cs="Times New Roman"/>
          <w:lang w:eastAsia="pl-PL"/>
        </w:rPr>
        <w:t xml:space="preserve">e </w:t>
      </w:r>
      <w:r w:rsidRPr="00073331">
        <w:rPr>
          <w:rFonts w:ascii="Corbel" w:eastAsia="Times New Roman" w:hAnsi="Corbel" w:cs="Times New Roman"/>
          <w:lang w:eastAsia="pl-PL"/>
        </w:rPr>
        <w:t>dostosowani</w:t>
      </w:r>
      <w:r w:rsidRPr="00660D87">
        <w:rPr>
          <w:rFonts w:ascii="Corbel" w:eastAsia="Times New Roman" w:hAnsi="Corbel" w:cs="Times New Roman"/>
          <w:lang w:eastAsia="pl-PL"/>
        </w:rPr>
        <w:t xml:space="preserve">e </w:t>
      </w:r>
      <w:r w:rsidRPr="00073331">
        <w:rPr>
          <w:rFonts w:ascii="Corbel" w:eastAsia="Times New Roman" w:hAnsi="Corbel" w:cs="Times New Roman"/>
          <w:lang w:eastAsia="pl-PL"/>
        </w:rPr>
        <w:t xml:space="preserve"> się do charakteru miejsc pracy</w:t>
      </w:r>
      <w:r w:rsidRPr="00660D87">
        <w:rPr>
          <w:rFonts w:ascii="Corbel" w:eastAsia="Times New Roman" w:hAnsi="Corbel" w:cs="Times New Roman"/>
          <w:lang w:eastAsia="pl-PL"/>
        </w:rPr>
        <w:t xml:space="preserve"> na konkurencyjnym rynku. </w:t>
      </w:r>
      <w:r w:rsidRPr="00073331">
        <w:rPr>
          <w:rFonts w:ascii="Corbel" w:eastAsia="Times New Roman" w:hAnsi="Corbel" w:cs="Times New Roman"/>
          <w:lang w:eastAsia="pl-PL"/>
        </w:rPr>
        <w:t xml:space="preserve"> </w:t>
      </w:r>
      <w:r w:rsidRPr="00660D87">
        <w:rPr>
          <w:rFonts w:ascii="Corbel" w:eastAsia="Times New Roman" w:hAnsi="Corbel" w:cs="Times New Roman"/>
          <w:lang w:eastAsia="pl-PL"/>
        </w:rPr>
        <w:t xml:space="preserve">Identyfikuje </w:t>
      </w:r>
      <w:r w:rsidRPr="00073331">
        <w:rPr>
          <w:rFonts w:ascii="Corbel" w:eastAsia="Times New Roman" w:hAnsi="Corbel" w:cs="Times New Roman"/>
          <w:lang w:eastAsia="pl-PL"/>
        </w:rPr>
        <w:t xml:space="preserve">istotne współcześnie problemy ekonomiczne posługując się przy tym szerokim wachlarzem technik i narzędzi badawczych. </w:t>
      </w:r>
    </w:p>
    <w:p w:rsidR="00073331" w:rsidRPr="00660D87" w:rsidRDefault="00073331" w:rsidP="00073331">
      <w:pPr>
        <w:spacing w:after="0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660D87">
        <w:rPr>
          <w:rFonts w:ascii="Corbel" w:eastAsia="Times New Roman" w:hAnsi="Corbel" w:cs="Times New Roman"/>
          <w:lang w:eastAsia="pl-PL"/>
        </w:rPr>
        <w:t xml:space="preserve">Kształcenie prowadzone jest w ramach wybieranych przez studenta specjalności:   </w:t>
      </w:r>
    </w:p>
    <w:p w:rsidR="00073331" w:rsidRPr="00660D87" w:rsidRDefault="00073331" w:rsidP="00073331">
      <w:pPr>
        <w:pStyle w:val="NormalnyWeb"/>
        <w:numPr>
          <w:ilvl w:val="0"/>
          <w:numId w:val="7"/>
        </w:numPr>
        <w:jc w:val="both"/>
        <w:rPr>
          <w:rFonts w:ascii="Corbel" w:hAnsi="Corbel"/>
          <w:sz w:val="22"/>
          <w:szCs w:val="22"/>
        </w:rPr>
      </w:pPr>
      <w:r w:rsidRPr="00660D87">
        <w:rPr>
          <w:rFonts w:ascii="Corbel" w:hAnsi="Corbel"/>
          <w:sz w:val="22"/>
          <w:szCs w:val="22"/>
        </w:rPr>
        <w:t>Ekonomia przedsiębiorstwa</w:t>
      </w:r>
    </w:p>
    <w:p w:rsidR="00073331" w:rsidRPr="00660D87" w:rsidRDefault="00073331" w:rsidP="00073331">
      <w:pPr>
        <w:pStyle w:val="NormalnyWeb"/>
        <w:numPr>
          <w:ilvl w:val="0"/>
          <w:numId w:val="7"/>
        </w:numPr>
        <w:jc w:val="both"/>
        <w:rPr>
          <w:rFonts w:ascii="Corbel" w:hAnsi="Corbel"/>
          <w:sz w:val="22"/>
          <w:szCs w:val="22"/>
        </w:rPr>
      </w:pPr>
      <w:r w:rsidRPr="00660D87">
        <w:rPr>
          <w:rFonts w:ascii="Corbel" w:hAnsi="Corbel"/>
          <w:sz w:val="22"/>
          <w:szCs w:val="22"/>
        </w:rPr>
        <w:t>Ekonomia usług biznesowych</w:t>
      </w:r>
    </w:p>
    <w:p w:rsidR="00073331" w:rsidRPr="00660D87" w:rsidRDefault="00073331" w:rsidP="00073331">
      <w:pPr>
        <w:pStyle w:val="NormalnyWeb"/>
        <w:numPr>
          <w:ilvl w:val="0"/>
          <w:numId w:val="7"/>
        </w:numPr>
        <w:jc w:val="both"/>
        <w:rPr>
          <w:rFonts w:ascii="Corbel" w:hAnsi="Corbel"/>
          <w:sz w:val="22"/>
          <w:szCs w:val="22"/>
        </w:rPr>
      </w:pPr>
      <w:r w:rsidRPr="00660D87">
        <w:rPr>
          <w:rFonts w:ascii="Corbel" w:hAnsi="Corbel"/>
          <w:sz w:val="22"/>
          <w:szCs w:val="22"/>
        </w:rPr>
        <w:t>Ekonomia i zarządzanie w sektorze publicznym</w:t>
      </w:r>
    </w:p>
    <w:p w:rsidR="00073331" w:rsidRPr="00660D87" w:rsidRDefault="00073331" w:rsidP="00073331">
      <w:pPr>
        <w:pStyle w:val="NormalnyWeb"/>
        <w:numPr>
          <w:ilvl w:val="0"/>
          <w:numId w:val="7"/>
        </w:numPr>
        <w:jc w:val="both"/>
        <w:rPr>
          <w:rFonts w:ascii="Corbel" w:hAnsi="Corbel"/>
          <w:sz w:val="22"/>
          <w:szCs w:val="22"/>
        </w:rPr>
      </w:pPr>
      <w:r w:rsidRPr="00660D87">
        <w:rPr>
          <w:rFonts w:ascii="Corbel" w:hAnsi="Corbel"/>
          <w:sz w:val="22"/>
          <w:szCs w:val="22"/>
        </w:rPr>
        <w:t>Gospodarka finansowa i rachunkowość</w:t>
      </w:r>
    </w:p>
    <w:p w:rsidR="00073331" w:rsidRPr="00660D87" w:rsidRDefault="00073331" w:rsidP="00073331">
      <w:pPr>
        <w:pStyle w:val="NormalnyWeb"/>
        <w:numPr>
          <w:ilvl w:val="0"/>
          <w:numId w:val="7"/>
        </w:numPr>
        <w:jc w:val="both"/>
        <w:rPr>
          <w:rFonts w:ascii="Corbel" w:hAnsi="Corbel"/>
          <w:sz w:val="22"/>
          <w:szCs w:val="22"/>
        </w:rPr>
      </w:pPr>
      <w:r w:rsidRPr="00660D87">
        <w:rPr>
          <w:rFonts w:ascii="Corbel" w:hAnsi="Corbel"/>
          <w:sz w:val="22"/>
          <w:szCs w:val="22"/>
        </w:rPr>
        <w:t>International Business - Cross-</w:t>
      </w:r>
      <w:proofErr w:type="spellStart"/>
      <w:r w:rsidRPr="00660D87">
        <w:rPr>
          <w:rFonts w:ascii="Corbel" w:hAnsi="Corbel"/>
          <w:sz w:val="22"/>
          <w:szCs w:val="22"/>
        </w:rPr>
        <w:t>Cultural</w:t>
      </w:r>
      <w:proofErr w:type="spellEnd"/>
      <w:r w:rsidRPr="00660D87">
        <w:rPr>
          <w:rFonts w:ascii="Corbel" w:hAnsi="Corbel"/>
          <w:sz w:val="22"/>
          <w:szCs w:val="22"/>
        </w:rPr>
        <w:t xml:space="preserve"> </w:t>
      </w:r>
      <w:proofErr w:type="spellStart"/>
      <w:r w:rsidRPr="00660D87">
        <w:rPr>
          <w:rFonts w:ascii="Corbel" w:hAnsi="Corbel"/>
          <w:sz w:val="22"/>
          <w:szCs w:val="22"/>
        </w:rPr>
        <w:t>Aspect</w:t>
      </w:r>
      <w:proofErr w:type="spellEnd"/>
      <w:r w:rsidRPr="00660D87">
        <w:rPr>
          <w:rFonts w:ascii="Corbel" w:hAnsi="Corbel"/>
          <w:sz w:val="22"/>
          <w:szCs w:val="22"/>
        </w:rPr>
        <w:t xml:space="preserve"> (studia w języku angielskim)</w:t>
      </w:r>
    </w:p>
    <w:p w:rsidR="00073331" w:rsidRPr="00073331" w:rsidRDefault="00073331" w:rsidP="00073331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b/>
          <w:bCs/>
          <w:lang w:eastAsia="pl-PL"/>
        </w:rPr>
        <w:t>Profil absolwenta specjalności: EKONOMIA PRZEDSIĘBIORSTWA</w:t>
      </w:r>
    </w:p>
    <w:p w:rsidR="00073331" w:rsidRPr="00073331" w:rsidRDefault="00073331" w:rsidP="00073331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Absolwenci zdobywają pogłębione kwalifikacje w zakresie wykonywania zawodu ekonomisty, polegające na zdobyciu w toku studiów magisterskich wiedzy i umiejętności kreowanie koncepcji rozwojowych podmiotów gospodarczych. W profilowaniu sylwetki główny nacisk został położony na poszerzenie umiejętności łączenia ekonomicznej wiedzy teoretycznej z organizacją i funkcjonowaniem przedsiębiorstwa oraz zaawansowaną analizą jego otoczenia. Absolwent tej specjalności nabywa wiedzę i umiejętności z zakresu:</w:t>
      </w:r>
    </w:p>
    <w:p w:rsidR="00073331" w:rsidRPr="00073331" w:rsidRDefault="00073331" w:rsidP="0007333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 xml:space="preserve">analizowania </w:t>
      </w:r>
      <w:r w:rsidR="00D47186">
        <w:rPr>
          <w:rFonts w:ascii="Corbel" w:eastAsia="Times New Roman" w:hAnsi="Corbel" w:cs="Times New Roman"/>
          <w:lang w:eastAsia="pl-PL"/>
        </w:rPr>
        <w:t>funkcjonowania i rozwoju</w:t>
      </w:r>
      <w:r w:rsidRPr="00073331">
        <w:rPr>
          <w:rFonts w:ascii="Corbel" w:eastAsia="Times New Roman" w:hAnsi="Corbel" w:cs="Times New Roman"/>
          <w:lang w:eastAsia="pl-PL"/>
        </w:rPr>
        <w:t xml:space="preserve"> przedsiębiorstwa oraz realizacji projektów inwestycyjnych, z uwzględnieniem szerszej ekonomicznej perspektywy,</w:t>
      </w:r>
    </w:p>
    <w:p w:rsidR="00D47186" w:rsidRDefault="00073331" w:rsidP="002764F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 xml:space="preserve">realizacji planów strategicznych </w:t>
      </w:r>
      <w:r w:rsidR="00D47186" w:rsidRPr="00D47186">
        <w:rPr>
          <w:rFonts w:ascii="Corbel" w:eastAsia="Times New Roman" w:hAnsi="Corbel" w:cs="Times New Roman"/>
          <w:lang w:eastAsia="pl-PL"/>
        </w:rPr>
        <w:t>w podmiotach</w:t>
      </w:r>
      <w:r w:rsidRPr="00073331">
        <w:rPr>
          <w:rFonts w:ascii="Corbel" w:eastAsia="Times New Roman" w:hAnsi="Corbel" w:cs="Times New Roman"/>
          <w:lang w:eastAsia="pl-PL"/>
        </w:rPr>
        <w:t xml:space="preserve"> gospodarczych</w:t>
      </w:r>
      <w:r w:rsidR="00D47186" w:rsidRPr="00D47186">
        <w:rPr>
          <w:rFonts w:ascii="Corbel" w:eastAsia="Times New Roman" w:hAnsi="Corbel" w:cs="Times New Roman"/>
          <w:lang w:eastAsia="pl-PL"/>
        </w:rPr>
        <w:t xml:space="preserve">; </w:t>
      </w:r>
      <w:r w:rsidRPr="00073331">
        <w:rPr>
          <w:rFonts w:ascii="Corbel" w:eastAsia="Times New Roman" w:hAnsi="Corbel" w:cs="Times New Roman"/>
          <w:lang w:eastAsia="pl-PL"/>
        </w:rPr>
        <w:t xml:space="preserve"> </w:t>
      </w:r>
    </w:p>
    <w:p w:rsidR="00F01C8F" w:rsidRDefault="00073331" w:rsidP="00D74D9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F01C8F">
        <w:rPr>
          <w:rFonts w:ascii="Corbel" w:eastAsia="Times New Roman" w:hAnsi="Corbel" w:cs="Times New Roman"/>
          <w:lang w:eastAsia="pl-PL"/>
        </w:rPr>
        <w:t>sporządzenia ekspertyz dotyczących procesów zachodzących wewnątrz przedsiębiorstwa, jak i w jego otoczeniu</w:t>
      </w:r>
      <w:r w:rsidR="00F01C8F" w:rsidRPr="00F01C8F">
        <w:rPr>
          <w:rFonts w:ascii="Corbel" w:eastAsia="Times New Roman" w:hAnsi="Corbel" w:cs="Times New Roman"/>
          <w:lang w:eastAsia="pl-PL"/>
        </w:rPr>
        <w:t>;</w:t>
      </w:r>
      <w:r w:rsidRPr="00F01C8F">
        <w:rPr>
          <w:rFonts w:ascii="Corbel" w:eastAsia="Times New Roman" w:hAnsi="Corbel" w:cs="Times New Roman"/>
          <w:lang w:eastAsia="pl-PL"/>
        </w:rPr>
        <w:t xml:space="preserve"> </w:t>
      </w:r>
    </w:p>
    <w:p w:rsidR="00073331" w:rsidRPr="00F01C8F" w:rsidRDefault="00F01C8F" w:rsidP="00D74D9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>
        <w:rPr>
          <w:rFonts w:ascii="Corbel" w:eastAsia="Times New Roman" w:hAnsi="Corbel" w:cs="Times New Roman"/>
          <w:lang w:eastAsia="pl-PL"/>
        </w:rPr>
        <w:t xml:space="preserve">kreowania </w:t>
      </w:r>
      <w:r w:rsidR="00073331" w:rsidRPr="00F01C8F">
        <w:rPr>
          <w:rFonts w:ascii="Corbel" w:eastAsia="Times New Roman" w:hAnsi="Corbel" w:cs="Times New Roman"/>
          <w:lang w:eastAsia="pl-PL"/>
        </w:rPr>
        <w:t>rozw</w:t>
      </w:r>
      <w:r>
        <w:rPr>
          <w:rFonts w:ascii="Corbel" w:eastAsia="Times New Roman" w:hAnsi="Corbel" w:cs="Times New Roman"/>
          <w:lang w:eastAsia="pl-PL"/>
        </w:rPr>
        <w:t xml:space="preserve">oju </w:t>
      </w:r>
      <w:r w:rsidR="00073331" w:rsidRPr="00F01C8F">
        <w:rPr>
          <w:rFonts w:ascii="Corbel" w:eastAsia="Times New Roman" w:hAnsi="Corbel" w:cs="Times New Roman"/>
          <w:lang w:eastAsia="pl-PL"/>
        </w:rPr>
        <w:t xml:space="preserve">przedsiębiorstwa </w:t>
      </w:r>
      <w:r>
        <w:rPr>
          <w:rFonts w:ascii="Corbel" w:eastAsia="Times New Roman" w:hAnsi="Corbel" w:cs="Times New Roman"/>
          <w:lang w:eastAsia="pl-PL"/>
        </w:rPr>
        <w:t>oraz</w:t>
      </w:r>
      <w:r w:rsidR="00073331" w:rsidRPr="00F01C8F">
        <w:rPr>
          <w:rFonts w:ascii="Corbel" w:eastAsia="Times New Roman" w:hAnsi="Corbel" w:cs="Times New Roman"/>
          <w:lang w:eastAsia="pl-PL"/>
        </w:rPr>
        <w:t xml:space="preserve"> współtworz</w:t>
      </w:r>
      <w:r>
        <w:rPr>
          <w:rFonts w:ascii="Corbel" w:eastAsia="Times New Roman" w:hAnsi="Corbel" w:cs="Times New Roman"/>
          <w:lang w:eastAsia="pl-PL"/>
        </w:rPr>
        <w:t>enia</w:t>
      </w:r>
      <w:r w:rsidR="00073331" w:rsidRPr="00F01C8F">
        <w:rPr>
          <w:rFonts w:ascii="Corbel" w:eastAsia="Times New Roman" w:hAnsi="Corbel" w:cs="Times New Roman"/>
          <w:lang w:eastAsia="pl-PL"/>
        </w:rPr>
        <w:t xml:space="preserve"> instrument</w:t>
      </w:r>
      <w:r>
        <w:rPr>
          <w:rFonts w:ascii="Corbel" w:eastAsia="Times New Roman" w:hAnsi="Corbel" w:cs="Times New Roman"/>
          <w:lang w:eastAsia="pl-PL"/>
        </w:rPr>
        <w:t>ów stymulujących</w:t>
      </w:r>
      <w:r w:rsidR="00073331" w:rsidRPr="00F01C8F">
        <w:rPr>
          <w:rFonts w:ascii="Corbel" w:eastAsia="Times New Roman" w:hAnsi="Corbel" w:cs="Times New Roman"/>
          <w:lang w:eastAsia="pl-PL"/>
        </w:rPr>
        <w:t xml:space="preserve"> rozw</w:t>
      </w:r>
      <w:r>
        <w:rPr>
          <w:rFonts w:ascii="Corbel" w:eastAsia="Times New Roman" w:hAnsi="Corbel" w:cs="Times New Roman"/>
          <w:lang w:eastAsia="pl-PL"/>
        </w:rPr>
        <w:t xml:space="preserve">oju </w:t>
      </w:r>
      <w:r w:rsidR="00073331" w:rsidRPr="00F01C8F">
        <w:rPr>
          <w:rFonts w:ascii="Corbel" w:eastAsia="Times New Roman" w:hAnsi="Corbel" w:cs="Times New Roman"/>
          <w:lang w:eastAsia="pl-PL"/>
        </w:rPr>
        <w:t>przedsiębiorczości.</w:t>
      </w:r>
    </w:p>
    <w:p w:rsidR="00073331" w:rsidRPr="00073331" w:rsidRDefault="00073331" w:rsidP="00073331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b/>
          <w:bCs/>
          <w:lang w:eastAsia="pl-PL"/>
        </w:rPr>
        <w:t>Profil absolwenta specjalności: EKONOMIA USŁUG BIZNESOWYCH</w:t>
      </w:r>
    </w:p>
    <w:p w:rsidR="00073331" w:rsidRPr="00073331" w:rsidRDefault="00073331" w:rsidP="00073331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Specjalność przygotowuje do pracy  na stanowiskach specjalistów, doradców i konsultantów zarówno w przedsiębiorstwach jak i w podmiotach otoczenia biznesu oraz instytucjach realizujących różne aspekty polityki gospodarczej. Absolwenci tej specjalności po studiach magisterskich mogą świadczyć usługi doradcze, w szerokim spektrum działań przedsiębiorstwa oraz w doradztwie dla osób fizycznych, w tym strategicznie planować kierunki inwestowania kapitału, wskazywać racjonalne ekonomicznie struktury we wszystkich obszarach funkcjonowania przedsiębiorstwa. </w:t>
      </w:r>
    </w:p>
    <w:p w:rsidR="00073331" w:rsidRPr="00073331" w:rsidRDefault="00073331" w:rsidP="00073331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Absolwent tej specjalności nabywa wiedzę i umiejętności z zakresu:</w:t>
      </w:r>
    </w:p>
    <w:p w:rsidR="00073331" w:rsidRPr="00073331" w:rsidRDefault="00073331" w:rsidP="000733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 xml:space="preserve">oceny sytuacji gospodarczej, </w:t>
      </w:r>
    </w:p>
    <w:p w:rsidR="00073331" w:rsidRPr="00073331" w:rsidRDefault="00073331" w:rsidP="000733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doradztwa finansowego i inwestycyjnego</w:t>
      </w:r>
      <w:r w:rsidR="00D47186">
        <w:rPr>
          <w:rFonts w:ascii="Corbel" w:eastAsia="Times New Roman" w:hAnsi="Corbel" w:cs="Times New Roman"/>
          <w:lang w:eastAsia="pl-PL"/>
        </w:rPr>
        <w:t>;</w:t>
      </w:r>
    </w:p>
    <w:p w:rsidR="00073331" w:rsidRPr="00073331" w:rsidRDefault="00073331" w:rsidP="000733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lastRenderedPageBreak/>
        <w:t>realizacji doradztwa w zakresie  usług związanych z działalnością gospodarczą  ze szczególnym uwzględnieniem determinant organizacji przedsiębiorstwa (gry decyzyjne, techniki sprzedaży usług), gospodarki kapitałem ludzkim</w:t>
      </w:r>
      <w:r w:rsidR="00D47186">
        <w:rPr>
          <w:rFonts w:ascii="Corbel" w:eastAsia="Times New Roman" w:hAnsi="Corbel" w:cs="Times New Roman"/>
          <w:lang w:eastAsia="pl-PL"/>
        </w:rPr>
        <w:t>;</w:t>
      </w:r>
    </w:p>
    <w:p w:rsidR="00073331" w:rsidRPr="00073331" w:rsidRDefault="00073331" w:rsidP="000733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doradztwa w  wykorzystaniu instrumentów polityki gospodarczej w tym środków  z funduszy UE, (np. ocena efektywności projektów unijnych, partnerstwo publiczno- prywatne)</w:t>
      </w:r>
    </w:p>
    <w:p w:rsidR="00073331" w:rsidRPr="00073331" w:rsidRDefault="00073331" w:rsidP="000733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doradztwa w zakresie wdrażania nowoczesnych systemów jakości i logistyki</w:t>
      </w:r>
      <w:r w:rsidR="00D47186">
        <w:rPr>
          <w:rFonts w:ascii="Corbel" w:eastAsia="Times New Roman" w:hAnsi="Corbel" w:cs="Times New Roman"/>
          <w:lang w:eastAsia="pl-PL"/>
        </w:rPr>
        <w:t>.</w:t>
      </w:r>
    </w:p>
    <w:p w:rsidR="00073331" w:rsidRPr="00660D87" w:rsidRDefault="00073331" w:rsidP="00073331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073331">
      <w:pPr>
        <w:spacing w:after="0" w:line="240" w:lineRule="auto"/>
        <w:jc w:val="both"/>
        <w:rPr>
          <w:rFonts w:ascii="Corbel" w:hAnsi="Corbel" w:cs="Times New Roman"/>
          <w:b/>
          <w:bCs/>
        </w:rPr>
      </w:pPr>
      <w:r w:rsidRPr="00660D87">
        <w:rPr>
          <w:rFonts w:ascii="Corbel" w:hAnsi="Corbel" w:cs="Times New Roman"/>
          <w:b/>
          <w:bCs/>
        </w:rPr>
        <w:t>Profil absolwenta specjalności: EKONOMIA I ZARZĄDZANIE W SEKTORZE PUBLICZNYM</w:t>
      </w:r>
    </w:p>
    <w:p w:rsidR="00073331" w:rsidRPr="00660D87" w:rsidRDefault="00073331" w:rsidP="00073331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073331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rFonts w:ascii="Corbel" w:hAnsi="Corbel"/>
          <w:color w:val="000000"/>
          <w:sz w:val="22"/>
          <w:szCs w:val="22"/>
        </w:rPr>
      </w:pPr>
      <w:r w:rsidRPr="00660D87">
        <w:rPr>
          <w:rFonts w:ascii="Corbel" w:hAnsi="Corbel"/>
          <w:sz w:val="22"/>
          <w:szCs w:val="22"/>
        </w:rPr>
        <w:t xml:space="preserve">Specjalność przygotowuje do identyfikacji i rozwiązywania problemów społeczno-gospodarczych oraz do </w:t>
      </w:r>
      <w:r w:rsidRPr="00660D87">
        <w:rPr>
          <w:rFonts w:ascii="Corbel" w:hAnsi="Corbel"/>
          <w:color w:val="000000"/>
          <w:sz w:val="22"/>
          <w:szCs w:val="22"/>
        </w:rPr>
        <w:t xml:space="preserve">opracowywania publicznych programów w dziedzinie administracji rządowej i samorządowej, służby zdrowia i pomocy społecznej, obrony narodowej, edukacji, ubezpieczeń społecznych oraz zamówień publicznych, z uwzględnieniem analizy ekonomicznej i sprawiedliwości społecznej (włączenia społecznego). Absolwent kreatywnie wyszukuje informacje o możliwościach uzyskiwania wsparcia z funduszy unijnych. Potrafi również opracowywać i oceniać projekty, nawiązywać sieci współpracy, pozyskiwać interesariuszy oraz świadczyć usługi doradcze związane z wykorzystywaniem zasobów </w:t>
      </w:r>
      <w:proofErr w:type="spellStart"/>
      <w:r w:rsidRPr="00660D87">
        <w:rPr>
          <w:rFonts w:ascii="Corbel" w:hAnsi="Corbel"/>
          <w:color w:val="000000"/>
          <w:sz w:val="22"/>
          <w:szCs w:val="22"/>
        </w:rPr>
        <w:t>endo</w:t>
      </w:r>
      <w:proofErr w:type="spellEnd"/>
      <w:r w:rsidRPr="00660D87">
        <w:rPr>
          <w:rFonts w:ascii="Corbel" w:hAnsi="Corbel"/>
          <w:color w:val="000000"/>
          <w:sz w:val="22"/>
          <w:szCs w:val="22"/>
        </w:rPr>
        <w:t xml:space="preserve">- i egzogenicznych przez podmioty sektora publicznego. </w:t>
      </w:r>
      <w:r w:rsidRPr="00660D87">
        <w:rPr>
          <w:rFonts w:ascii="Corbel" w:hAnsi="Corbel"/>
          <w:sz w:val="22"/>
          <w:szCs w:val="22"/>
        </w:rPr>
        <w:t>Specjalność przygotowuje absolwentów do wprowadzania menedżerskiego stylu zarządzania w sektorze publicznym. Absolwenci są przygotowani do pracy na stanowiskach specjalistycznych w systemie zarządzania, kierowników średniego i wyższego szczebla, doradców, konsultantów w jednostkach administracji rządowej, samorządowej oraz w instytucjach realizujących politykę gospodarczą i społeczną.</w:t>
      </w:r>
    </w:p>
    <w:p w:rsidR="00073331" w:rsidRPr="00660D87" w:rsidRDefault="00073331" w:rsidP="00073331">
      <w:pPr>
        <w:spacing w:before="100" w:beforeAutospacing="1" w:after="100" w:afterAutospacing="1" w:line="240" w:lineRule="auto"/>
        <w:jc w:val="both"/>
        <w:rPr>
          <w:rFonts w:ascii="Corbel" w:hAnsi="Corbel" w:cs="Times New Roman"/>
        </w:rPr>
      </w:pPr>
      <w:r w:rsidRPr="00660D87">
        <w:rPr>
          <w:rFonts w:ascii="Corbel" w:hAnsi="Corbel" w:cs="Times New Roman"/>
        </w:rPr>
        <w:t>Absolwent tej specjalności nabywa wiedzę i umiejętności z zakresu:</w:t>
      </w:r>
    </w:p>
    <w:p w:rsidR="00073331" w:rsidRPr="00660D87" w:rsidRDefault="00073331" w:rsidP="0007333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orbel" w:hAnsi="Corbel" w:cs="Times New Roman"/>
        </w:rPr>
      </w:pPr>
      <w:r w:rsidRPr="00660D87">
        <w:rPr>
          <w:rFonts w:ascii="Corbel" w:hAnsi="Corbel" w:cs="Times New Roman"/>
        </w:rPr>
        <w:t xml:space="preserve">wykorzystania metod analitycznych do badania procesów gospodarczych i społecznych oraz modelowania przebiegu procesów gospodarczych w skali mikro, makro i </w:t>
      </w:r>
      <w:proofErr w:type="spellStart"/>
      <w:r w:rsidRPr="00660D87">
        <w:rPr>
          <w:rFonts w:ascii="Corbel" w:hAnsi="Corbel" w:cs="Times New Roman"/>
        </w:rPr>
        <w:t>mezoekonomicznej</w:t>
      </w:r>
      <w:proofErr w:type="spellEnd"/>
      <w:r w:rsidRPr="00660D87">
        <w:rPr>
          <w:rFonts w:ascii="Corbel" w:hAnsi="Corbel" w:cs="Times New Roman"/>
        </w:rPr>
        <w:t xml:space="preserve"> w warunkach konkurencji międzynarodowej</w:t>
      </w:r>
      <w:r w:rsidR="00660D87" w:rsidRPr="00660D87">
        <w:rPr>
          <w:rFonts w:ascii="Corbel" w:hAnsi="Corbel" w:cs="Times New Roman"/>
        </w:rPr>
        <w:t xml:space="preserve">; </w:t>
      </w:r>
      <w:r w:rsidRPr="00660D87">
        <w:rPr>
          <w:rFonts w:ascii="Corbel" w:hAnsi="Corbel" w:cs="Times New Roman"/>
        </w:rPr>
        <w:t xml:space="preserve"> </w:t>
      </w:r>
    </w:p>
    <w:p w:rsidR="00073331" w:rsidRPr="00660D87" w:rsidRDefault="00073331" w:rsidP="00073331">
      <w:pPr>
        <w:numPr>
          <w:ilvl w:val="0"/>
          <w:numId w:val="15"/>
        </w:numPr>
        <w:spacing w:after="0" w:line="240" w:lineRule="auto"/>
        <w:jc w:val="both"/>
        <w:rPr>
          <w:rFonts w:ascii="Corbel" w:hAnsi="Corbel" w:cs="Times New Roman"/>
        </w:rPr>
      </w:pPr>
      <w:r w:rsidRPr="00660D87">
        <w:rPr>
          <w:rFonts w:ascii="Corbel" w:hAnsi="Corbel" w:cs="Times New Roman"/>
        </w:rPr>
        <w:t>zastosowania przepisów prawa administracyjnego w celu uzasadniania podejmowanych działań i decyzji oraz funkcjonowania organizacji sektora publicznego, jak również praktycznego zastosowania procedur zamówień publicznych, prawa pracy, itp.</w:t>
      </w:r>
    </w:p>
    <w:p w:rsidR="00073331" w:rsidRPr="00660D87" w:rsidRDefault="00073331" w:rsidP="00073331">
      <w:pPr>
        <w:numPr>
          <w:ilvl w:val="0"/>
          <w:numId w:val="14"/>
        </w:numPr>
        <w:spacing w:after="100" w:afterAutospacing="1" w:line="240" w:lineRule="auto"/>
        <w:jc w:val="both"/>
        <w:rPr>
          <w:rFonts w:ascii="Corbel" w:hAnsi="Corbel" w:cs="Times New Roman"/>
        </w:rPr>
      </w:pPr>
      <w:r w:rsidRPr="00660D87">
        <w:rPr>
          <w:rFonts w:ascii="Corbel" w:hAnsi="Corbel" w:cs="Times New Roman"/>
        </w:rPr>
        <w:t>menedżerskiego zarządzania w instytucjach sektora publicznego</w:t>
      </w:r>
      <w:r w:rsidR="00660D87" w:rsidRPr="00660D87">
        <w:rPr>
          <w:rFonts w:ascii="Corbel" w:hAnsi="Corbel" w:cs="Times New Roman"/>
        </w:rPr>
        <w:t xml:space="preserve">; </w:t>
      </w:r>
      <w:r w:rsidRPr="00660D87">
        <w:rPr>
          <w:rFonts w:ascii="Corbel" w:hAnsi="Corbel" w:cs="Times New Roman"/>
        </w:rPr>
        <w:t xml:space="preserve"> </w:t>
      </w:r>
    </w:p>
    <w:p w:rsidR="00073331" w:rsidRPr="00660D87" w:rsidRDefault="00073331" w:rsidP="0007333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orbel" w:hAnsi="Corbel" w:cs="Times New Roman"/>
        </w:rPr>
      </w:pPr>
      <w:r w:rsidRPr="00660D87">
        <w:rPr>
          <w:rFonts w:ascii="Corbel" w:hAnsi="Corbel" w:cs="Times New Roman"/>
        </w:rPr>
        <w:t>pozyskiwania i wykorzystywania zasobów oraz zewnętrznych źródeł ich finansowania, w tym funduszy i programów UE przez jednostki samorządu terytorialnego i inne podmioty sektora publicznego</w:t>
      </w:r>
      <w:r w:rsidR="00660D87" w:rsidRPr="00660D87">
        <w:rPr>
          <w:rFonts w:ascii="Corbel" w:hAnsi="Corbel" w:cs="Times New Roman"/>
        </w:rPr>
        <w:t xml:space="preserve">; </w:t>
      </w:r>
      <w:r w:rsidRPr="00660D87">
        <w:rPr>
          <w:rFonts w:ascii="Corbel" w:hAnsi="Corbel" w:cs="Times New Roman"/>
        </w:rPr>
        <w:t xml:space="preserve"> </w:t>
      </w:r>
    </w:p>
    <w:p w:rsidR="00073331" w:rsidRPr="00660D87" w:rsidRDefault="00073331" w:rsidP="0007333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orbel" w:hAnsi="Corbel" w:cs="Times New Roman"/>
        </w:rPr>
      </w:pPr>
      <w:r w:rsidRPr="00660D87">
        <w:rPr>
          <w:rFonts w:ascii="Corbel" w:hAnsi="Corbel" w:cs="Times New Roman"/>
        </w:rPr>
        <w:t>rachunkowości i sprawozdawczości budżetowej, audytu, kalkulacji i optymalizacji kosztów, oceny i zastosowania ekonomicznego i społecznego rachunku kosztów inwestycji, usług ubezpieczeniowych, kredytowych, zastosowania elementów optymalizacji podatkowej.</w:t>
      </w:r>
    </w:p>
    <w:p w:rsidR="00073331" w:rsidRPr="00073331" w:rsidRDefault="00073331" w:rsidP="00073331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b/>
          <w:bCs/>
          <w:lang w:eastAsia="pl-PL"/>
        </w:rPr>
        <w:t>Profil absolwenta specjalności: GOSPODARKA FINANSOWA I RACHUNKOWOŚĆ</w:t>
      </w:r>
    </w:p>
    <w:p w:rsidR="00073331" w:rsidRPr="00073331" w:rsidRDefault="00073331" w:rsidP="00073331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Specjalność przygotowuje do pracy na stanowiskach analityków, specjalistów i doradców w zakresie gospodarki finansowej na poziomie makroekonomicznym, sektorowym i regionalnym. Na poziomie mikroekonomicznym, tj. przedsiębiorstwa, jednostki budżetowej, instytucji pozarządowej (tzw. NGO), specjalność przygotowuje do pracy w sferze finansowej obsługi działalności operacyjnej i inwestycyjnej przedsiębiorstw, ewidencji księgowej, sprawozdawczości i analizy finansowej oraz w sferze doradztwa finansowego, ubezpieczeniowego i podatkowego.</w:t>
      </w:r>
    </w:p>
    <w:p w:rsidR="00073331" w:rsidRPr="00073331" w:rsidRDefault="00073331" w:rsidP="00073331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 xml:space="preserve">W profilu sylwetki absolwenta główny nacisk został położony na kształtowanie interdyscyplinarnej wiedzy i umiejętności z zakresu ekonomii i finansów, bankowości, sytemu podatkowego oraz </w:t>
      </w:r>
      <w:r w:rsidRPr="00073331">
        <w:rPr>
          <w:rFonts w:ascii="Corbel" w:eastAsia="Times New Roman" w:hAnsi="Corbel" w:cs="Times New Roman"/>
          <w:lang w:eastAsia="pl-PL"/>
        </w:rPr>
        <w:lastRenderedPageBreak/>
        <w:t>organizacji i zarządzania finansami przedsiębiorstwa. Absolwent potrafi dostrzec wzajemne powiązania pomiędzy różnymi sferami przedsiębiorstwa. Rozumie służebną rolę finansów i rachunkowości w zapewnieniu efektywności ekonomicznej i racjonalności społecznej biznesu. Wykorzystuje wiedzę i umiejętności zdobyte w toku studiów do analizy i oceny otoczenia przedsiębiorstwa w aspekcie wpływu czynników zewnętrznych na jego kondycję ekonomiczną i efektywność finansową. Jest przygotowany do pracy i podejmowania decyzji w zakresie projektowania strategii finansowej przedsiębiorstw oraz finansowych ram projektów gospodarczych.</w:t>
      </w:r>
    </w:p>
    <w:p w:rsidR="00073331" w:rsidRPr="00073331" w:rsidRDefault="00073331" w:rsidP="00073331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Absolwent tej specjalności nabywa pogłębioną wiedzę i umiejętności z zakresu:</w:t>
      </w:r>
    </w:p>
    <w:p w:rsidR="00073331" w:rsidRPr="00073331" w:rsidRDefault="00073331" w:rsidP="000733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ewidencji, sprawozdawczości i analizy procesów gospodarczych w ramach rachunkowości finansowej i zarządczej oraz rachunkowości budżetowej – na poziomie rozszerzonym;</w:t>
      </w:r>
    </w:p>
    <w:p w:rsidR="00073331" w:rsidRPr="00073331" w:rsidRDefault="00073331" w:rsidP="000733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sporządzania budżetów, planów finansowych oraz wieloletnich prognoz finansowych;</w:t>
      </w:r>
    </w:p>
    <w:p w:rsidR="00073331" w:rsidRPr="00073331" w:rsidRDefault="00073331" w:rsidP="000733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opracowywania finansowych elementów strategii przedsiębiorstw, biznes planów, planów inwestycyjnych (rachunek kosztów, rachunek efektywności ekonomicznej);</w:t>
      </w:r>
    </w:p>
    <w:p w:rsidR="00073331" w:rsidRPr="00073331" w:rsidRDefault="00073331" w:rsidP="000733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księgowej i podatkowej obsługi sektora mikro i małych przedsiębiorstw w zakresie projektowania strategicznych przedsięwzięć inwestycyjno-finansowych, w ramach usług biur rachunkowych i doradztwa podatkowego;</w:t>
      </w:r>
    </w:p>
    <w:p w:rsidR="00073331" w:rsidRPr="00073331" w:rsidRDefault="00073331" w:rsidP="000733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konsultingu bankowego, ubezpieczeniowego i rachunkowo-podatkowego;</w:t>
      </w:r>
    </w:p>
    <w:p w:rsidR="00073331" w:rsidRPr="00073331" w:rsidRDefault="00073331" w:rsidP="000733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analizy i zarządzania ryzykiem w procesach inwestycyjnych;</w:t>
      </w:r>
    </w:p>
    <w:p w:rsidR="00073331" w:rsidRPr="00073331" w:rsidRDefault="00073331" w:rsidP="000733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oceny instrumentów rynku kapitałowego i walutowego oraz wyceny ryzyka i podejmowania decyzji w zakresie obrotu tymi instrumentami;</w:t>
      </w:r>
    </w:p>
    <w:p w:rsidR="00073331" w:rsidRPr="00073331" w:rsidRDefault="00073331" w:rsidP="000733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sporządzania opracowań w zakresie oceny kondycji ekonomiczno-finansowej podmiotów gospodarczych i podmiotów sektora publicznego;</w:t>
      </w:r>
    </w:p>
    <w:p w:rsidR="00073331" w:rsidRPr="00073331" w:rsidRDefault="00073331" w:rsidP="000733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wsparcia eksperckiego podmiotów gospodarczych i podmiotów sektora finansów publicznych i NGO w zakresie ubiegania się o fundusze strukturalne i realizacji projektów finansowanych z funduszy publicznych;</w:t>
      </w:r>
    </w:p>
    <w:p w:rsidR="00073331" w:rsidRPr="00073331" w:rsidRDefault="00073331" w:rsidP="000733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3331">
        <w:rPr>
          <w:rFonts w:ascii="Corbel" w:eastAsia="Times New Roman" w:hAnsi="Corbel" w:cs="Times New Roman"/>
          <w:lang w:eastAsia="pl-PL"/>
        </w:rPr>
        <w:t>obsługi transakcji gospodarczych w ramach biznesu międzynarodowego i transgranicznej wymiany handlowej.</w:t>
      </w:r>
    </w:p>
    <w:p w:rsidR="009931EC" w:rsidRPr="00660D87" w:rsidRDefault="009931EC" w:rsidP="009931EC">
      <w:pPr>
        <w:pStyle w:val="NormalnyWeb"/>
        <w:ind w:left="360"/>
        <w:jc w:val="both"/>
        <w:rPr>
          <w:rFonts w:ascii="Corbel" w:hAnsi="Corbel"/>
          <w:sz w:val="22"/>
          <w:szCs w:val="22"/>
        </w:rPr>
      </w:pPr>
      <w:r w:rsidRPr="00073331">
        <w:rPr>
          <w:rFonts w:ascii="Corbel" w:hAnsi="Corbel"/>
          <w:b/>
          <w:bCs/>
        </w:rPr>
        <w:t>Profil absolwenta specjalności:</w:t>
      </w:r>
      <w:r w:rsidRPr="009931EC">
        <w:rPr>
          <w:rFonts w:ascii="Corbel" w:hAnsi="Corbel"/>
          <w:sz w:val="22"/>
          <w:szCs w:val="22"/>
        </w:rPr>
        <w:t xml:space="preserve"> </w:t>
      </w:r>
      <w:r w:rsidRPr="009931EC">
        <w:rPr>
          <w:rFonts w:ascii="Corbel" w:hAnsi="Corbel"/>
          <w:b/>
          <w:sz w:val="22"/>
          <w:szCs w:val="22"/>
        </w:rPr>
        <w:t>INTERNATIONAL BUSINESS - CROSS-CULTURAL ASPECT</w:t>
      </w:r>
      <w:r w:rsidRPr="00660D87">
        <w:rPr>
          <w:rFonts w:ascii="Corbel" w:hAnsi="Corbel"/>
          <w:sz w:val="22"/>
          <w:szCs w:val="22"/>
        </w:rPr>
        <w:t xml:space="preserve"> (studia w języku angielskim)</w:t>
      </w:r>
    </w:p>
    <w:p w:rsidR="00073331" w:rsidRDefault="009931EC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  <w:r w:rsidRPr="009931EC">
        <w:rPr>
          <w:rFonts w:ascii="Corbel" w:hAnsi="Corbel"/>
          <w:sz w:val="22"/>
          <w:szCs w:val="22"/>
        </w:rPr>
        <w:t>A </w:t>
      </w:r>
      <w:proofErr w:type="spellStart"/>
      <w:r w:rsidRPr="009931EC">
        <w:rPr>
          <w:rFonts w:ascii="Corbel" w:hAnsi="Corbel"/>
          <w:sz w:val="22"/>
          <w:szCs w:val="22"/>
        </w:rPr>
        <w:t>successful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graduate</w:t>
      </w:r>
      <w:proofErr w:type="spellEnd"/>
      <w:r w:rsidRPr="009931EC">
        <w:rPr>
          <w:rFonts w:ascii="Corbel" w:hAnsi="Corbel"/>
          <w:sz w:val="22"/>
          <w:szCs w:val="22"/>
        </w:rPr>
        <w:t xml:space="preserve"> of the </w:t>
      </w:r>
      <w:proofErr w:type="spellStart"/>
      <w:r w:rsidRPr="009931EC">
        <w:rPr>
          <w:rFonts w:ascii="Corbel" w:hAnsi="Corbel"/>
          <w:sz w:val="22"/>
          <w:szCs w:val="22"/>
        </w:rPr>
        <w:t>IBCCA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studies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is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capable</w:t>
      </w:r>
      <w:proofErr w:type="spellEnd"/>
      <w:r w:rsidRPr="009931EC">
        <w:rPr>
          <w:rFonts w:ascii="Corbel" w:hAnsi="Corbel"/>
          <w:sz w:val="22"/>
          <w:szCs w:val="22"/>
        </w:rPr>
        <w:t xml:space="preserve"> of </w:t>
      </w:r>
      <w:proofErr w:type="spellStart"/>
      <w:r w:rsidRPr="009931EC">
        <w:rPr>
          <w:rFonts w:ascii="Corbel" w:hAnsi="Corbel"/>
          <w:sz w:val="22"/>
          <w:szCs w:val="22"/>
        </w:rPr>
        <w:t>dealing</w:t>
      </w:r>
      <w:proofErr w:type="spellEnd"/>
      <w:r w:rsidRPr="009931EC">
        <w:rPr>
          <w:rFonts w:ascii="Corbel" w:hAnsi="Corbel"/>
          <w:sz w:val="22"/>
          <w:szCs w:val="22"/>
        </w:rPr>
        <w:t xml:space="preserve"> with </w:t>
      </w:r>
      <w:proofErr w:type="spellStart"/>
      <w:r w:rsidRPr="009931EC">
        <w:rPr>
          <w:rFonts w:ascii="Corbel" w:hAnsi="Corbel"/>
          <w:sz w:val="22"/>
          <w:szCs w:val="22"/>
        </w:rPr>
        <w:t>both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theoretical</w:t>
      </w:r>
      <w:proofErr w:type="spellEnd"/>
      <w:r w:rsidRPr="009931EC">
        <w:rPr>
          <w:rFonts w:ascii="Corbel" w:hAnsi="Corbel"/>
          <w:sz w:val="22"/>
          <w:szCs w:val="22"/>
        </w:rPr>
        <w:t xml:space="preserve"> and </w:t>
      </w:r>
      <w:proofErr w:type="spellStart"/>
      <w:r w:rsidRPr="009931EC">
        <w:rPr>
          <w:rFonts w:ascii="Corbel" w:hAnsi="Corbel"/>
          <w:sz w:val="22"/>
          <w:szCs w:val="22"/>
        </w:rPr>
        <w:t>practical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aspects</w:t>
      </w:r>
      <w:proofErr w:type="spellEnd"/>
      <w:r w:rsidRPr="009931EC">
        <w:rPr>
          <w:rFonts w:ascii="Corbel" w:hAnsi="Corbel"/>
          <w:sz w:val="22"/>
          <w:szCs w:val="22"/>
        </w:rPr>
        <w:t xml:space="preserve"> of </w:t>
      </w:r>
      <w:proofErr w:type="spellStart"/>
      <w:r w:rsidRPr="009931EC">
        <w:rPr>
          <w:rFonts w:ascii="Corbel" w:hAnsi="Corbel"/>
          <w:sz w:val="22"/>
          <w:szCs w:val="22"/>
        </w:rPr>
        <w:t>international</w:t>
      </w:r>
      <w:proofErr w:type="spellEnd"/>
      <w:r w:rsidRPr="009931EC">
        <w:rPr>
          <w:rFonts w:ascii="Corbel" w:hAnsi="Corbel"/>
          <w:sz w:val="22"/>
          <w:szCs w:val="22"/>
        </w:rPr>
        <w:t xml:space="preserve"> business </w:t>
      </w:r>
      <w:proofErr w:type="spellStart"/>
      <w:r w:rsidRPr="009931EC">
        <w:rPr>
          <w:rFonts w:ascii="Corbel" w:hAnsi="Corbel"/>
          <w:sz w:val="22"/>
          <w:szCs w:val="22"/>
        </w:rPr>
        <w:t>operations</w:t>
      </w:r>
      <w:proofErr w:type="spellEnd"/>
      <w:r w:rsidRPr="009931EC">
        <w:rPr>
          <w:rFonts w:ascii="Corbel" w:hAnsi="Corbel"/>
          <w:sz w:val="22"/>
          <w:szCs w:val="22"/>
        </w:rPr>
        <w:t xml:space="preserve"> in the </w:t>
      </w:r>
      <w:proofErr w:type="spellStart"/>
      <w:r w:rsidRPr="009931EC">
        <w:rPr>
          <w:rFonts w:ascii="Corbel" w:hAnsi="Corbel"/>
          <w:sz w:val="22"/>
          <w:szCs w:val="22"/>
        </w:rPr>
        <w:t>common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European</w:t>
      </w:r>
      <w:proofErr w:type="spellEnd"/>
      <w:r w:rsidRPr="009931EC">
        <w:rPr>
          <w:rFonts w:ascii="Corbel" w:hAnsi="Corbel"/>
          <w:sz w:val="22"/>
          <w:szCs w:val="22"/>
        </w:rPr>
        <w:t xml:space="preserve"> market and </w:t>
      </w:r>
      <w:proofErr w:type="spellStart"/>
      <w:r w:rsidRPr="009931EC">
        <w:rPr>
          <w:rFonts w:ascii="Corbel" w:hAnsi="Corbel"/>
          <w:sz w:val="22"/>
          <w:szCs w:val="22"/>
        </w:rPr>
        <w:t>global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economy</w:t>
      </w:r>
      <w:proofErr w:type="spellEnd"/>
      <w:r w:rsidRPr="009931EC">
        <w:rPr>
          <w:rFonts w:ascii="Corbel" w:hAnsi="Corbel"/>
          <w:sz w:val="22"/>
          <w:szCs w:val="22"/>
        </w:rPr>
        <w:t>. He/</w:t>
      </w:r>
      <w:proofErr w:type="spellStart"/>
      <w:r w:rsidRPr="009931EC">
        <w:rPr>
          <w:rFonts w:ascii="Corbel" w:hAnsi="Corbel"/>
          <w:sz w:val="22"/>
          <w:szCs w:val="22"/>
        </w:rPr>
        <w:t>she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possesses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knowledge</w:t>
      </w:r>
      <w:proofErr w:type="spellEnd"/>
      <w:r w:rsidRPr="009931EC">
        <w:rPr>
          <w:rFonts w:ascii="Corbel" w:hAnsi="Corbel"/>
          <w:sz w:val="22"/>
          <w:szCs w:val="22"/>
        </w:rPr>
        <w:t xml:space="preserve"> and </w:t>
      </w:r>
      <w:proofErr w:type="spellStart"/>
      <w:r w:rsidRPr="009931EC">
        <w:rPr>
          <w:rFonts w:ascii="Corbel" w:hAnsi="Corbel"/>
          <w:sz w:val="22"/>
          <w:szCs w:val="22"/>
        </w:rPr>
        <w:t>skills</w:t>
      </w:r>
      <w:proofErr w:type="spellEnd"/>
      <w:r w:rsidRPr="009931EC">
        <w:rPr>
          <w:rFonts w:ascii="Corbel" w:hAnsi="Corbel"/>
          <w:sz w:val="22"/>
          <w:szCs w:val="22"/>
        </w:rPr>
        <w:t xml:space="preserve"> to </w:t>
      </w:r>
      <w:proofErr w:type="spellStart"/>
      <w:r w:rsidRPr="009931EC">
        <w:rPr>
          <w:rFonts w:ascii="Corbel" w:hAnsi="Corbel"/>
          <w:sz w:val="22"/>
          <w:szCs w:val="22"/>
        </w:rPr>
        <w:t>build</w:t>
      </w:r>
      <w:proofErr w:type="spellEnd"/>
      <w:r w:rsidRPr="009931EC">
        <w:rPr>
          <w:rFonts w:ascii="Corbel" w:hAnsi="Corbel"/>
          <w:sz w:val="22"/>
          <w:szCs w:val="22"/>
        </w:rPr>
        <w:t xml:space="preserve"> and </w:t>
      </w:r>
      <w:proofErr w:type="spellStart"/>
      <w:r w:rsidRPr="009931EC">
        <w:rPr>
          <w:rFonts w:ascii="Corbel" w:hAnsi="Corbel"/>
          <w:sz w:val="22"/>
          <w:szCs w:val="22"/>
        </w:rPr>
        <w:t>advance</w:t>
      </w:r>
      <w:proofErr w:type="spellEnd"/>
      <w:r w:rsidRPr="009931EC">
        <w:rPr>
          <w:rFonts w:ascii="Corbel" w:hAnsi="Corbel"/>
          <w:sz w:val="22"/>
          <w:szCs w:val="22"/>
        </w:rPr>
        <w:t xml:space="preserve"> business in </w:t>
      </w:r>
      <w:proofErr w:type="spellStart"/>
      <w:r w:rsidRPr="009931EC">
        <w:rPr>
          <w:rFonts w:ascii="Corbel" w:hAnsi="Corbel"/>
          <w:sz w:val="22"/>
          <w:szCs w:val="22"/>
        </w:rPr>
        <w:t>diverse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cultural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conditions</w:t>
      </w:r>
      <w:proofErr w:type="spellEnd"/>
      <w:r w:rsidRPr="009931EC">
        <w:rPr>
          <w:rFonts w:ascii="Corbel" w:hAnsi="Corbel"/>
          <w:sz w:val="22"/>
          <w:szCs w:val="22"/>
        </w:rPr>
        <w:t xml:space="preserve"> of the </w:t>
      </w:r>
      <w:proofErr w:type="spellStart"/>
      <w:r w:rsidRPr="009931EC">
        <w:rPr>
          <w:rFonts w:ascii="Corbel" w:hAnsi="Corbel"/>
          <w:sz w:val="22"/>
          <w:szCs w:val="22"/>
        </w:rPr>
        <w:t>contemporary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international</w:t>
      </w:r>
      <w:proofErr w:type="spellEnd"/>
      <w:r w:rsidRPr="009931EC">
        <w:rPr>
          <w:rFonts w:ascii="Corbel" w:hAnsi="Corbel"/>
          <w:sz w:val="22"/>
          <w:szCs w:val="22"/>
        </w:rPr>
        <w:t xml:space="preserve"> business environment, </w:t>
      </w:r>
      <w:proofErr w:type="spellStart"/>
      <w:r w:rsidRPr="009931EC">
        <w:rPr>
          <w:rFonts w:ascii="Corbel" w:hAnsi="Corbel"/>
          <w:sz w:val="22"/>
          <w:szCs w:val="22"/>
        </w:rPr>
        <w:t>being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particularly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aware</w:t>
      </w:r>
      <w:proofErr w:type="spellEnd"/>
      <w:r w:rsidRPr="009931EC">
        <w:rPr>
          <w:rFonts w:ascii="Corbel" w:hAnsi="Corbel"/>
          <w:sz w:val="22"/>
          <w:szCs w:val="22"/>
        </w:rPr>
        <w:t xml:space="preserve"> of the </w:t>
      </w:r>
      <w:proofErr w:type="spellStart"/>
      <w:r w:rsidRPr="009931EC">
        <w:rPr>
          <w:rFonts w:ascii="Corbel" w:hAnsi="Corbel"/>
          <w:sz w:val="22"/>
          <w:szCs w:val="22"/>
        </w:rPr>
        <w:t>various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cultural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contexts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that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may</w:t>
      </w:r>
      <w:proofErr w:type="spellEnd"/>
      <w:r w:rsidRPr="009931EC">
        <w:rPr>
          <w:rFonts w:ascii="Corbel" w:hAnsi="Corbel"/>
          <w:sz w:val="22"/>
          <w:szCs w:val="22"/>
        </w:rPr>
        <w:t xml:space="preserve"> challenge the prosperity of business </w:t>
      </w:r>
      <w:proofErr w:type="spellStart"/>
      <w:r w:rsidRPr="009931EC">
        <w:rPr>
          <w:rFonts w:ascii="Corbel" w:hAnsi="Corbel"/>
          <w:sz w:val="22"/>
          <w:szCs w:val="22"/>
        </w:rPr>
        <w:t>operations</w:t>
      </w:r>
      <w:proofErr w:type="spellEnd"/>
      <w:r w:rsidRPr="009931EC">
        <w:rPr>
          <w:rFonts w:ascii="Corbel" w:hAnsi="Corbel"/>
          <w:sz w:val="22"/>
          <w:szCs w:val="22"/>
        </w:rPr>
        <w:t xml:space="preserve">. In </w:t>
      </w:r>
      <w:proofErr w:type="spellStart"/>
      <w:r w:rsidRPr="009931EC">
        <w:rPr>
          <w:rFonts w:ascii="Corbel" w:hAnsi="Corbel"/>
          <w:sz w:val="22"/>
          <w:szCs w:val="22"/>
        </w:rPr>
        <w:t>this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sense</w:t>
      </w:r>
      <w:proofErr w:type="spellEnd"/>
      <w:r w:rsidRPr="009931EC">
        <w:rPr>
          <w:rFonts w:ascii="Corbel" w:hAnsi="Corbel"/>
          <w:sz w:val="22"/>
          <w:szCs w:val="22"/>
        </w:rPr>
        <w:t xml:space="preserve">, </w:t>
      </w:r>
      <w:proofErr w:type="spellStart"/>
      <w:r w:rsidRPr="009931EC">
        <w:rPr>
          <w:rFonts w:ascii="Corbel" w:hAnsi="Corbel"/>
          <w:sz w:val="22"/>
          <w:szCs w:val="22"/>
        </w:rPr>
        <w:t>an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IBCCA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graduate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will</w:t>
      </w:r>
      <w:proofErr w:type="spellEnd"/>
      <w:r w:rsidRPr="009931EC">
        <w:rPr>
          <w:rFonts w:ascii="Corbel" w:hAnsi="Corbel"/>
          <w:sz w:val="22"/>
          <w:szCs w:val="22"/>
        </w:rPr>
        <w:t xml:space="preserve"> be </w:t>
      </w:r>
      <w:proofErr w:type="spellStart"/>
      <w:r w:rsidRPr="009931EC">
        <w:rPr>
          <w:rFonts w:ascii="Corbel" w:hAnsi="Corbel"/>
          <w:sz w:val="22"/>
          <w:szCs w:val="22"/>
        </w:rPr>
        <w:t>provided</w:t>
      </w:r>
      <w:proofErr w:type="spellEnd"/>
      <w:r w:rsidRPr="009931EC">
        <w:rPr>
          <w:rFonts w:ascii="Corbel" w:hAnsi="Corbel"/>
          <w:sz w:val="22"/>
          <w:szCs w:val="22"/>
        </w:rPr>
        <w:t xml:space="preserve"> with </w:t>
      </w:r>
      <w:proofErr w:type="spellStart"/>
      <w:r w:rsidRPr="009931EC">
        <w:rPr>
          <w:rFonts w:ascii="Corbel" w:hAnsi="Corbel"/>
          <w:sz w:val="22"/>
          <w:szCs w:val="22"/>
        </w:rPr>
        <w:t>competencies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that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will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enable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him</w:t>
      </w:r>
      <w:proofErr w:type="spellEnd"/>
      <w:r w:rsidRPr="009931EC">
        <w:rPr>
          <w:rFonts w:ascii="Corbel" w:hAnsi="Corbel"/>
          <w:sz w:val="22"/>
          <w:szCs w:val="22"/>
        </w:rPr>
        <w:t>/</w:t>
      </w:r>
      <w:proofErr w:type="spellStart"/>
      <w:r w:rsidRPr="009931EC">
        <w:rPr>
          <w:rFonts w:ascii="Corbel" w:hAnsi="Corbel"/>
          <w:sz w:val="22"/>
          <w:szCs w:val="22"/>
        </w:rPr>
        <w:t>her</w:t>
      </w:r>
      <w:proofErr w:type="spellEnd"/>
      <w:r w:rsidRPr="009931EC">
        <w:rPr>
          <w:rFonts w:ascii="Corbel" w:hAnsi="Corbel"/>
          <w:sz w:val="22"/>
          <w:szCs w:val="22"/>
        </w:rPr>
        <w:t xml:space="preserve"> to </w:t>
      </w:r>
      <w:proofErr w:type="spellStart"/>
      <w:r w:rsidRPr="009931EC">
        <w:rPr>
          <w:rFonts w:ascii="Corbel" w:hAnsi="Corbel"/>
          <w:sz w:val="22"/>
          <w:szCs w:val="22"/>
        </w:rPr>
        <w:t>take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advantage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generated</w:t>
      </w:r>
      <w:proofErr w:type="spellEnd"/>
      <w:r w:rsidRPr="009931EC">
        <w:rPr>
          <w:rFonts w:ascii="Corbel" w:hAnsi="Corbel"/>
          <w:sz w:val="22"/>
          <w:szCs w:val="22"/>
        </w:rPr>
        <w:t xml:space="preserve"> by </w:t>
      </w:r>
      <w:proofErr w:type="spellStart"/>
      <w:r w:rsidRPr="009931EC">
        <w:rPr>
          <w:rFonts w:ascii="Corbel" w:hAnsi="Corbel"/>
          <w:sz w:val="22"/>
          <w:szCs w:val="22"/>
        </w:rPr>
        <w:t>cultural</w:t>
      </w:r>
      <w:proofErr w:type="spellEnd"/>
      <w:r w:rsidRPr="009931EC">
        <w:rPr>
          <w:rFonts w:ascii="Corbel" w:hAnsi="Corbel"/>
          <w:sz w:val="22"/>
          <w:szCs w:val="22"/>
        </w:rPr>
        <w:t xml:space="preserve"> business and </w:t>
      </w:r>
      <w:proofErr w:type="spellStart"/>
      <w:r w:rsidRPr="009931EC">
        <w:rPr>
          <w:rFonts w:ascii="Corbel" w:hAnsi="Corbel"/>
          <w:sz w:val="22"/>
          <w:szCs w:val="22"/>
        </w:rPr>
        <w:t>economic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diversity</w:t>
      </w:r>
      <w:proofErr w:type="spellEnd"/>
      <w:r w:rsidRPr="009931EC">
        <w:rPr>
          <w:rFonts w:ascii="Corbel" w:hAnsi="Corbel"/>
          <w:sz w:val="22"/>
          <w:szCs w:val="22"/>
        </w:rPr>
        <w:t xml:space="preserve">, and </w:t>
      </w:r>
      <w:proofErr w:type="spellStart"/>
      <w:r w:rsidRPr="009931EC">
        <w:rPr>
          <w:rFonts w:ascii="Corbel" w:hAnsi="Corbel"/>
          <w:sz w:val="22"/>
          <w:szCs w:val="22"/>
        </w:rPr>
        <w:t>conduct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successful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analysis</w:t>
      </w:r>
      <w:proofErr w:type="spellEnd"/>
      <w:r w:rsidRPr="009931EC">
        <w:rPr>
          <w:rFonts w:ascii="Corbel" w:hAnsi="Corbel"/>
          <w:sz w:val="22"/>
          <w:szCs w:val="22"/>
        </w:rPr>
        <w:t xml:space="preserve"> of business </w:t>
      </w:r>
      <w:proofErr w:type="spellStart"/>
      <w:r w:rsidRPr="009931EC">
        <w:rPr>
          <w:rFonts w:ascii="Corbel" w:hAnsi="Corbel"/>
          <w:sz w:val="22"/>
          <w:szCs w:val="22"/>
        </w:rPr>
        <w:t>threats</w:t>
      </w:r>
      <w:proofErr w:type="spellEnd"/>
      <w:r w:rsidRPr="009931EC">
        <w:rPr>
          <w:rFonts w:ascii="Corbel" w:hAnsi="Corbel"/>
          <w:sz w:val="22"/>
          <w:szCs w:val="22"/>
        </w:rPr>
        <w:t xml:space="preserve"> and </w:t>
      </w:r>
      <w:proofErr w:type="spellStart"/>
      <w:r w:rsidRPr="009931EC">
        <w:rPr>
          <w:rFonts w:ascii="Corbel" w:hAnsi="Corbel"/>
          <w:sz w:val="22"/>
          <w:szCs w:val="22"/>
        </w:rPr>
        <w:t>opportunities</w:t>
      </w:r>
      <w:proofErr w:type="spellEnd"/>
      <w:r w:rsidRPr="009931EC">
        <w:rPr>
          <w:rFonts w:ascii="Corbel" w:hAnsi="Corbel"/>
          <w:sz w:val="22"/>
          <w:szCs w:val="22"/>
        </w:rPr>
        <w:t xml:space="preserve"> to </w:t>
      </w:r>
      <w:proofErr w:type="spellStart"/>
      <w:r w:rsidRPr="009931EC">
        <w:rPr>
          <w:rFonts w:ascii="Corbel" w:hAnsi="Corbel"/>
          <w:sz w:val="22"/>
          <w:szCs w:val="22"/>
        </w:rPr>
        <w:t>overcome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cultural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barriers</w:t>
      </w:r>
      <w:proofErr w:type="spellEnd"/>
      <w:r w:rsidRPr="009931EC">
        <w:rPr>
          <w:rFonts w:ascii="Corbel" w:hAnsi="Corbel"/>
          <w:sz w:val="22"/>
          <w:szCs w:val="22"/>
        </w:rPr>
        <w:t xml:space="preserve"> in management and </w:t>
      </w:r>
      <w:proofErr w:type="spellStart"/>
      <w:r w:rsidRPr="009931EC">
        <w:rPr>
          <w:rFonts w:ascii="Corbel" w:hAnsi="Corbel"/>
          <w:sz w:val="22"/>
          <w:szCs w:val="22"/>
        </w:rPr>
        <w:t>avoid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unnecessary</w:t>
      </w:r>
      <w:proofErr w:type="spellEnd"/>
      <w:r w:rsidRPr="009931EC">
        <w:rPr>
          <w:rFonts w:ascii="Corbel" w:hAnsi="Corbel"/>
          <w:sz w:val="22"/>
          <w:szCs w:val="22"/>
        </w:rPr>
        <w:t xml:space="preserve"> </w:t>
      </w:r>
      <w:proofErr w:type="spellStart"/>
      <w:r w:rsidRPr="009931EC">
        <w:rPr>
          <w:rFonts w:ascii="Corbel" w:hAnsi="Corbel"/>
          <w:sz w:val="22"/>
          <w:szCs w:val="22"/>
        </w:rPr>
        <w:t>risk</w:t>
      </w:r>
      <w:proofErr w:type="spellEnd"/>
      <w:r w:rsidRPr="009931EC">
        <w:rPr>
          <w:rFonts w:ascii="Corbel" w:hAnsi="Corbel"/>
          <w:sz w:val="22"/>
          <w:szCs w:val="22"/>
        </w:rPr>
        <w:t>.  </w:t>
      </w:r>
    </w:p>
    <w:p w:rsidR="009931EC" w:rsidRDefault="009931EC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9931EC" w:rsidRPr="009931EC" w:rsidRDefault="009931EC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  <w:r w:rsidRPr="00073331">
        <w:rPr>
          <w:rFonts w:ascii="Corbel" w:hAnsi="Corbel"/>
          <w:sz w:val="22"/>
          <w:szCs w:val="22"/>
        </w:rPr>
        <w:t>Absolwent studiów magisterskich jest przygotowany do pracy na stanowiskach kierowniczych, doradczych czy eksperckich</w:t>
      </w:r>
      <w:r w:rsidR="00F26357">
        <w:rPr>
          <w:rFonts w:ascii="Corbel" w:hAnsi="Corbel"/>
          <w:sz w:val="22"/>
          <w:szCs w:val="22"/>
        </w:rPr>
        <w:t>.</w:t>
      </w:r>
      <w:r w:rsidR="00F26357" w:rsidRPr="00073331">
        <w:rPr>
          <w:rFonts w:ascii="Corbel" w:hAnsi="Corbel"/>
          <w:sz w:val="22"/>
          <w:szCs w:val="22"/>
        </w:rPr>
        <w:t xml:space="preserve"> Nauka języków obcych na poziomie B2+ Europejskiego Systemu Opisu Kształcenia Językowego pozwala uzyskać kwalifikacje niezbędne w pracy zawodowej ekonomisty, w tym do nawiązywania kontaktów z otoczeniem międzynarodowym. Studia dają podstawę do dalszej edukacji (</w:t>
      </w:r>
      <w:r w:rsidR="003D6744">
        <w:rPr>
          <w:rFonts w:ascii="Corbel" w:hAnsi="Corbel"/>
          <w:sz w:val="22"/>
          <w:szCs w:val="22"/>
        </w:rPr>
        <w:t>Szkoła Doktorska</w:t>
      </w:r>
      <w:r w:rsidR="00F26357" w:rsidRPr="00073331">
        <w:rPr>
          <w:rFonts w:ascii="Corbel" w:hAnsi="Corbel"/>
          <w:sz w:val="22"/>
          <w:szCs w:val="22"/>
        </w:rPr>
        <w:t>) i umożliwiają podejmowanie pracy naukowej lub dydaktycznej.</w:t>
      </w: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  <w:bookmarkStart w:id="0" w:name="_GoBack"/>
      <w:bookmarkEnd w:id="0"/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73331" w:rsidRPr="00660D87" w:rsidRDefault="00073331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082727" w:rsidRPr="00660D87" w:rsidRDefault="00082727">
      <w:pPr>
        <w:rPr>
          <w:rFonts w:ascii="Corbel" w:hAnsi="Corbel"/>
          <w:b/>
        </w:rPr>
      </w:pPr>
    </w:p>
    <w:sectPr w:rsidR="00082727" w:rsidRPr="0066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9C0"/>
    <w:multiLevelType w:val="multilevel"/>
    <w:tmpl w:val="A3AA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E1F4E"/>
    <w:multiLevelType w:val="multilevel"/>
    <w:tmpl w:val="3BE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D3ECC"/>
    <w:multiLevelType w:val="multilevel"/>
    <w:tmpl w:val="9FCC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64815"/>
    <w:multiLevelType w:val="multilevel"/>
    <w:tmpl w:val="2D9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01A87"/>
    <w:multiLevelType w:val="multilevel"/>
    <w:tmpl w:val="AEA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425A47C8"/>
    <w:multiLevelType w:val="multilevel"/>
    <w:tmpl w:val="F780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63E3E"/>
    <w:multiLevelType w:val="hybridMultilevel"/>
    <w:tmpl w:val="11A2C3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D72420C"/>
    <w:multiLevelType w:val="multilevel"/>
    <w:tmpl w:val="2DE2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27291"/>
    <w:multiLevelType w:val="multilevel"/>
    <w:tmpl w:val="DFBC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87249"/>
    <w:multiLevelType w:val="multilevel"/>
    <w:tmpl w:val="4DF8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322F2"/>
    <w:multiLevelType w:val="hybridMultilevel"/>
    <w:tmpl w:val="ACB42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61D21"/>
    <w:multiLevelType w:val="multilevel"/>
    <w:tmpl w:val="684C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F1D21"/>
    <w:multiLevelType w:val="multilevel"/>
    <w:tmpl w:val="69D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A6B6763"/>
    <w:multiLevelType w:val="multilevel"/>
    <w:tmpl w:val="013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3"/>
  </w:num>
  <w:num w:numId="10">
    <w:abstractNumId w:val="5"/>
  </w:num>
  <w:num w:numId="11">
    <w:abstractNumId w:val="11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27"/>
    <w:rsid w:val="00025D77"/>
    <w:rsid w:val="000720CA"/>
    <w:rsid w:val="00073331"/>
    <w:rsid w:val="00082727"/>
    <w:rsid w:val="001F3086"/>
    <w:rsid w:val="00274610"/>
    <w:rsid w:val="002E7E3B"/>
    <w:rsid w:val="003278F4"/>
    <w:rsid w:val="003D6744"/>
    <w:rsid w:val="003F2A9D"/>
    <w:rsid w:val="00401368"/>
    <w:rsid w:val="0054472C"/>
    <w:rsid w:val="00552104"/>
    <w:rsid w:val="006079DE"/>
    <w:rsid w:val="00660D87"/>
    <w:rsid w:val="008B071A"/>
    <w:rsid w:val="009931EC"/>
    <w:rsid w:val="009B17DA"/>
    <w:rsid w:val="00A56584"/>
    <w:rsid w:val="00AB1BA1"/>
    <w:rsid w:val="00C2477A"/>
    <w:rsid w:val="00C55C1D"/>
    <w:rsid w:val="00D47186"/>
    <w:rsid w:val="00D72F36"/>
    <w:rsid w:val="00DF10AE"/>
    <w:rsid w:val="00F01C8F"/>
    <w:rsid w:val="00F2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3A2E"/>
  <w15:chartTrackingRefBased/>
  <w15:docId w15:val="{1D5D0E63-61B2-4825-AC14-90190AFE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4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8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</dc:creator>
  <cp:keywords/>
  <dc:description/>
  <cp:lastModifiedBy>Elżbieta Lencka</cp:lastModifiedBy>
  <cp:revision>7</cp:revision>
  <dcterms:created xsi:type="dcterms:W3CDTF">2020-03-02T20:41:00Z</dcterms:created>
  <dcterms:modified xsi:type="dcterms:W3CDTF">2022-06-27T07:44:00Z</dcterms:modified>
</cp:coreProperties>
</file>