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right"/>
        <w:rPr>
          <w:rFonts w:ascii="Corbel" w:hAnsi="Corbel"/>
          <w:bCs/>
          <w:i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  <w:tab/>
        <w:tab/>
        <w:tab/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Cs/>
          <w:i/>
          <w:highlight w:val="yellow"/>
        </w:rPr>
        <w:t>Załącznik nr 1.5 do Zarządzenia Rektora UR  nr 7/2023</w:t>
      </w:r>
    </w:p>
    <w:p>
      <w:pPr>
        <w:pStyle w:val="Normal"/>
        <w:spacing w:lineRule="auto" w:line="240" w:before="0" w:after="0"/>
        <w:jc w:val="center"/>
        <w:rPr>
          <w:rFonts w:ascii="Corbel" w:hAnsi="Corbel"/>
          <w:b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>
      <w:pPr>
        <w:pStyle w:val="Normal"/>
        <w:spacing w:lineRule="exact" w:line="240" w:before="0" w:after="0"/>
        <w:jc w:val="center"/>
        <w:rPr>
          <w:rFonts w:ascii="Corbel" w:hAnsi="Corbel"/>
          <w:b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...........................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>
      <w:pPr>
        <w:pStyle w:val="Normal"/>
        <w:spacing w:lineRule="exact" w:line="240"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>
      <w:pPr>
        <w:pStyle w:val="Normal"/>
        <w:spacing w:lineRule="exact" w:line="240"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  <w:tab/>
        <w:tab/>
        <w:tab/>
        <w:t xml:space="preserve">Rok akademicki   </w:t>
      </w:r>
      <w:r>
        <w:rPr>
          <w:rFonts w:ascii="Corbel" w:hAnsi="Corbel"/>
          <w:sz w:val="20"/>
          <w:szCs w:val="20"/>
        </w:rPr>
        <w:t>2025/6</w:t>
      </w:r>
    </w:p>
    <w:p>
      <w:pPr>
        <w:pStyle w:val="Normal"/>
        <w:spacing w:lineRule="auto" w:line="240" w:before="0" w:after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</w:r>
    </w:p>
    <w:p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7087"/>
      </w:tblGrid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Autospacing="1" w:after="0"/>
              <w:jc w:val="center"/>
              <w:rPr>
                <w:rFonts w:ascii="Corbel" w:hAnsi="Corbel"/>
                <w:b w:val="false"/>
                <w:b w:val="false"/>
                <w:sz w:val="24"/>
                <w:szCs w:val="24"/>
              </w:rPr>
            </w:pPr>
            <w:r>
              <w:rPr>
                <w:rFonts w:ascii="Corbel" w:hAnsi="Corbel"/>
                <w:b w:val="false"/>
                <w:sz w:val="24"/>
                <w:szCs w:val="24"/>
              </w:rPr>
              <w:t>Dziedzictwo kolonialne i pułapki emancypacji.</w:t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dpowiedzi"/>
              <w:widowControl w:val="false"/>
              <w:spacing w:beforeAutospacing="1" w:after="0"/>
              <w:rPr>
                <w:rFonts w:ascii="Corbel" w:hAnsi="Corbel"/>
                <w:b w:val="false"/>
                <w:b w:val="false"/>
                <w:sz w:val="24"/>
                <w:szCs w:val="24"/>
              </w:rPr>
            </w:pPr>
            <w:r>
              <w:rPr>
                <w:rFonts w:ascii="Corbel" w:hAnsi="Corbel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lineRule="exact" w:line="240"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dpowiedzi"/>
              <w:widowControl w:val="false"/>
              <w:spacing w:beforeAutospacing="1" w:after="0"/>
              <w:rPr>
                <w:rFonts w:ascii="Corbel" w:hAnsi="Corbel"/>
                <w:b w:val="false"/>
                <w:b w:val="false"/>
                <w:sz w:val="24"/>
                <w:szCs w:val="24"/>
              </w:rPr>
            </w:pPr>
            <w:r>
              <w:rPr>
                <w:rFonts w:ascii="Corbel" w:hAnsi="Corbel"/>
                <w:b w:val="false"/>
                <w:sz w:val="24"/>
                <w:szCs w:val="24"/>
              </w:rPr>
              <w:t xml:space="preserve">Instytut Filozofii, </w:t>
            </w:r>
            <w:r>
              <w:rPr>
                <w:rFonts w:ascii="Corbel" w:hAnsi="Corbel"/>
                <w:b w:val="false"/>
                <w:sz w:val="24"/>
                <w:szCs w:val="24"/>
              </w:rPr>
              <w:t>Wydział Pedagogiki i Filozofii</w:t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dpowiedzi"/>
              <w:widowControl w:val="false"/>
              <w:spacing w:beforeAutospacing="1" w:after="0"/>
              <w:rPr>
                <w:rFonts w:ascii="Corbel" w:hAnsi="Corbel"/>
                <w:b w:val="false"/>
                <w:b w:val="false"/>
                <w:sz w:val="24"/>
                <w:szCs w:val="24"/>
              </w:rPr>
            </w:pPr>
            <w:r>
              <w:rPr>
                <w:rFonts w:ascii="Corbel" w:hAnsi="Corbel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dpowiedzi"/>
              <w:widowControl w:val="false"/>
              <w:spacing w:beforeAutospacing="1" w:after="0"/>
              <w:rPr>
                <w:rFonts w:ascii="Corbel" w:hAnsi="Corbel"/>
                <w:b w:val="false"/>
                <w:b w:val="false"/>
                <w:sz w:val="24"/>
                <w:szCs w:val="24"/>
              </w:rPr>
            </w:pPr>
            <w:r>
              <w:rPr>
                <w:rFonts w:ascii="Corbel" w:hAnsi="Corbel"/>
                <w:b w:val="false"/>
                <w:sz w:val="24"/>
                <w:szCs w:val="24"/>
              </w:rPr>
              <w:t>Przedmiot ogólnouczelniany</w:t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dpowiedzi"/>
              <w:widowControl w:val="false"/>
              <w:spacing w:beforeAutospacing="1" w:after="0"/>
              <w:rPr>
                <w:rFonts w:ascii="Corbel" w:hAnsi="Corbel"/>
                <w:b w:val="false"/>
                <w:b w:val="false"/>
                <w:sz w:val="24"/>
                <w:szCs w:val="24"/>
              </w:rPr>
            </w:pPr>
            <w:r>
              <w:rPr>
                <w:rFonts w:ascii="Corbel" w:hAnsi="Corbel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dpowiedzi"/>
              <w:widowControl w:val="false"/>
              <w:spacing w:beforeAutospacing="1" w:after="0"/>
              <w:rPr>
                <w:rFonts w:ascii="Corbel" w:hAnsi="Corbel"/>
                <w:b w:val="false"/>
                <w:b w:val="false"/>
                <w:sz w:val="24"/>
                <w:szCs w:val="24"/>
              </w:rPr>
            </w:pPr>
            <w:r>
              <w:rPr>
                <w:rFonts w:ascii="Corbel" w:hAnsi="Corbel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dpowiedzi"/>
              <w:widowControl w:val="false"/>
              <w:spacing w:beforeAutospacing="1" w:after="0"/>
              <w:rPr>
                <w:rFonts w:ascii="Corbel" w:hAnsi="Corbel"/>
                <w:b w:val="false"/>
                <w:b w:val="false"/>
                <w:sz w:val="24"/>
                <w:szCs w:val="24"/>
              </w:rPr>
            </w:pPr>
            <w:r>
              <w:rPr>
                <w:rFonts w:ascii="Corbel" w:hAnsi="Corbel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dpowiedzi"/>
              <w:widowControl w:val="false"/>
              <w:spacing w:beforeAutospacing="1" w:after="0"/>
              <w:rPr>
                <w:rFonts w:ascii="Corbel" w:hAnsi="Corbel"/>
                <w:b w:val="false"/>
                <w:b w:val="false"/>
                <w:sz w:val="24"/>
                <w:szCs w:val="24"/>
              </w:rPr>
            </w:pPr>
            <w:r>
              <w:rPr>
                <w:rFonts w:ascii="Corbel" w:hAnsi="Corbel"/>
                <w:b w:val="false"/>
                <w:sz w:val="24"/>
                <w:szCs w:val="24"/>
              </w:rPr>
              <w:t>x/I</w:t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dpowiedzi"/>
              <w:widowControl w:val="false"/>
              <w:spacing w:beforeAutospacing="1" w:after="0"/>
              <w:rPr>
                <w:rFonts w:ascii="Corbel" w:hAnsi="Corbel"/>
                <w:b w:val="false"/>
                <w:b w:val="false"/>
                <w:sz w:val="24"/>
                <w:szCs w:val="24"/>
              </w:rPr>
            </w:pPr>
            <w:r>
              <w:rPr>
                <w:rFonts w:ascii="Corbel" w:hAnsi="Corbel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dpowiedzi"/>
              <w:widowControl w:val="false"/>
              <w:spacing w:beforeAutospacing="1" w:after="0"/>
              <w:rPr>
                <w:rFonts w:ascii="Corbel" w:hAnsi="Corbel"/>
                <w:b w:val="false"/>
                <w:b w:val="false"/>
                <w:sz w:val="24"/>
                <w:szCs w:val="24"/>
              </w:rPr>
            </w:pPr>
            <w:r>
              <w:rPr>
                <w:rFonts w:ascii="Corbel" w:hAnsi="Corbel"/>
                <w:b w:val="false"/>
                <w:sz w:val="24"/>
                <w:szCs w:val="24"/>
              </w:rPr>
              <w:t xml:space="preserve">Polski (English – </w:t>
            </w:r>
            <w:r>
              <w:rPr>
                <w:rFonts w:ascii="Corbel" w:hAnsi="Corbel"/>
                <w:b w:val="false"/>
                <w:sz w:val="24"/>
                <w:szCs w:val="24"/>
              </w:rPr>
              <w:t>on demand</w:t>
            </w:r>
            <w:r>
              <w:rPr>
                <w:rFonts w:ascii="Corbel" w:hAnsi="Corbel"/>
                <w:b w:val="false"/>
                <w:sz w:val="24"/>
                <w:szCs w:val="24"/>
              </w:rPr>
              <w:t>)</w:t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dpowiedzi"/>
              <w:widowControl w:val="false"/>
              <w:spacing w:beforeAutospacing="1" w:after="0"/>
              <w:rPr>
                <w:rFonts w:ascii="Corbel" w:hAnsi="Corbel"/>
                <w:b w:val="false"/>
                <w:b w:val="false"/>
                <w:sz w:val="24"/>
                <w:szCs w:val="24"/>
              </w:rPr>
            </w:pPr>
            <w:r>
              <w:rPr>
                <w:rFonts w:ascii="Corbel" w:hAnsi="Corbel"/>
                <w:b w:val="false"/>
                <w:sz w:val="24"/>
                <w:szCs w:val="24"/>
              </w:rPr>
              <w:t>Dr Adam Kubiak</w:t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ytania"/>
              <w:widowControl w:val="false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dpowiedzi"/>
              <w:widowControl w:val="false"/>
              <w:spacing w:beforeAutospacing="1" w:after="0"/>
              <w:rPr>
                <w:rFonts w:ascii="Corbel" w:hAnsi="Corbel"/>
                <w:b w:val="false"/>
                <w:b w:val="false"/>
                <w:sz w:val="24"/>
                <w:szCs w:val="24"/>
              </w:rPr>
            </w:pPr>
            <w:r>
              <w:rPr>
                <w:rFonts w:ascii="Corbel" w:hAnsi="Corbel"/>
                <w:b w:val="false"/>
                <w:sz w:val="24"/>
                <w:szCs w:val="24"/>
              </w:rPr>
              <w:t>Dr Adam Kubiak</w:t>
            </w:r>
          </w:p>
        </w:tc>
      </w:tr>
    </w:tbl>
    <w:p>
      <w:pPr>
        <w:pStyle w:val="Podpunkty"/>
        <w:spacing w:beforeAutospacing="1" w:afterAutospacing="1"/>
        <w:ind w:left="0" w:hanging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false"/>
          <w:i/>
          <w:sz w:val="24"/>
          <w:szCs w:val="24"/>
        </w:rPr>
        <w:t>opcjonalni</w:t>
      </w:r>
      <w:r>
        <w:rPr>
          <w:rFonts w:ascii="Corbel" w:hAnsi="Corbel"/>
          <w:b w:val="false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false"/>
          <w:i/>
          <w:sz w:val="24"/>
          <w:szCs w:val="24"/>
        </w:rPr>
        <w:t>zgodnie z ustaleniami w Jednostce</w:t>
      </w:r>
    </w:p>
    <w:p>
      <w:pPr>
        <w:pStyle w:val="Podpunkty"/>
        <w:ind w:left="0" w:hanging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</w:r>
    </w:p>
    <w:p>
      <w:pPr>
        <w:pStyle w:val="Podpunkty"/>
        <w:ind w:left="284" w:hanging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>
      <w:pPr>
        <w:pStyle w:val="Podpunkty"/>
        <w:ind w:left="0" w:hanging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</w:r>
    </w:p>
    <w:tbl>
      <w:tblPr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49"/>
        <w:gridCol w:w="913"/>
        <w:gridCol w:w="787"/>
        <w:gridCol w:w="848"/>
        <w:gridCol w:w="804"/>
        <w:gridCol w:w="822"/>
        <w:gridCol w:w="762"/>
        <w:gridCol w:w="951"/>
        <w:gridCol w:w="1190"/>
        <w:gridCol w:w="1501"/>
      </w:tblGrid>
      <w:tr>
        <w:trPr/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agwkitablic"/>
              <w:widowControl w:val="false"/>
              <w:spacing w:lineRule="auto" w:line="24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>
            <w:pPr>
              <w:pStyle w:val="Nagwkitablic"/>
              <w:widowControl w:val="false"/>
              <w:spacing w:lineRule="auto" w:line="240" w:before="0" w:after="12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gwkitablic"/>
              <w:widowControl w:val="false"/>
              <w:spacing w:lineRule="auto" w:line="240" w:before="0" w:after="12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gwkitablic"/>
              <w:widowControl w:val="false"/>
              <w:spacing w:lineRule="auto" w:line="240" w:before="0" w:after="12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gwkitablic"/>
              <w:widowControl w:val="false"/>
              <w:spacing w:lineRule="auto" w:line="240" w:before="0" w:after="12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gwkitablic"/>
              <w:widowControl w:val="false"/>
              <w:spacing w:lineRule="auto" w:line="240" w:before="0" w:after="12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gwkitablic"/>
              <w:widowControl w:val="false"/>
              <w:spacing w:lineRule="auto" w:line="240" w:before="0" w:after="12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gwkitablic"/>
              <w:widowControl w:val="false"/>
              <w:spacing w:lineRule="auto" w:line="240" w:before="0" w:after="12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gwkitablic"/>
              <w:widowControl w:val="false"/>
              <w:spacing w:lineRule="auto" w:line="240" w:before="0" w:after="12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gwkitablic"/>
              <w:widowControl w:val="false"/>
              <w:spacing w:lineRule="auto" w:line="240" w:before="0" w:after="12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gwkitablic"/>
              <w:widowControl w:val="false"/>
              <w:spacing w:lineRule="auto" w:line="240" w:before="0" w:after="120"/>
              <w:jc w:val="center"/>
              <w:rPr>
                <w:rFonts w:ascii="Corbel" w:hAnsi="Corbel"/>
                <w:b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>
        <w:trPr>
          <w:trHeight w:val="453" w:hRule="atLeast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entralniewrubryce"/>
              <w:widowControl w:val="fals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>
        <w:trPr>
          <w:trHeight w:val="453" w:hRule="atLeast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entralniewrubryce"/>
              <w:widowControl w:val="fals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ntralniewrubryce"/>
              <w:widowControl w:val="fals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</w:r>
          </w:p>
        </w:tc>
      </w:tr>
    </w:tbl>
    <w:p>
      <w:pPr>
        <w:pStyle w:val="Podpunkty"/>
        <w:ind w:left="0" w:hanging="0"/>
        <w:rPr>
          <w:rFonts w:ascii="Corbel" w:hAnsi="Corbel"/>
          <w:b w:val="false"/>
          <w:b w:val="false"/>
          <w:sz w:val="24"/>
          <w:szCs w:val="24"/>
          <w:lang w:eastAsia="en-US"/>
        </w:rPr>
      </w:pPr>
      <w:r>
        <w:rPr>
          <w:rFonts w:ascii="Corbel" w:hAnsi="Corbel"/>
          <w:b w:val="false"/>
          <w:sz w:val="24"/>
          <w:szCs w:val="24"/>
          <w:lang w:eastAsia="en-US"/>
        </w:rPr>
      </w:r>
    </w:p>
    <w:p>
      <w:pPr>
        <w:pStyle w:val="Podpunkty"/>
        <w:rPr>
          <w:rFonts w:ascii="Corbel" w:hAnsi="Corbel"/>
          <w:b w:val="false"/>
          <w:b w:val="false"/>
          <w:sz w:val="24"/>
          <w:szCs w:val="24"/>
          <w:lang w:eastAsia="en-US"/>
        </w:rPr>
      </w:pPr>
      <w:r>
        <w:rPr>
          <w:rFonts w:ascii="Corbel" w:hAnsi="Corbel"/>
          <w:b w:val="false"/>
          <w:sz w:val="24"/>
          <w:szCs w:val="24"/>
          <w:lang w:eastAsia="en-US"/>
        </w:rPr>
      </w:r>
    </w:p>
    <w:p>
      <w:pPr>
        <w:pStyle w:val="Punktygwne"/>
        <w:tabs>
          <w:tab w:val="clear" w:pos="708"/>
          <w:tab w:val="left" w:pos="709" w:leader="none"/>
        </w:tabs>
        <w:spacing w:before="0" w:after="0"/>
        <w:ind w:left="284" w:hanging="0"/>
        <w:rPr>
          <w:rFonts w:ascii="Corbel" w:hAnsi="Corbel"/>
          <w:b w:val="false"/>
          <w:b w:val="false"/>
          <w:caps w:val="false"/>
          <w:smallCaps w:val="false"/>
          <w:szCs w:val="24"/>
        </w:rPr>
      </w:pPr>
      <w:r>
        <w:rPr>
          <w:rFonts w:ascii="Corbel" w:hAnsi="Corbel"/>
          <w:caps w:val="false"/>
          <w:smallCaps w:val="false"/>
          <w:szCs w:val="24"/>
        </w:rPr>
        <w:t>1.2.</w:t>
        <w:tab/>
        <w:t xml:space="preserve">Sposób realizacji zajęć  </w:t>
      </w:r>
    </w:p>
    <w:p>
      <w:pPr>
        <w:pStyle w:val="Punktygwne"/>
        <w:spacing w:before="0" w:after="0"/>
        <w:ind w:left="709" w:hanging="0"/>
        <w:rPr>
          <w:rFonts w:ascii="Corbel" w:hAnsi="Corbel"/>
          <w:b w:val="false"/>
          <w:b w:val="false"/>
          <w:caps w:val="false"/>
          <w:smallCaps w:val="false"/>
          <w:szCs w:val="24"/>
        </w:rPr>
      </w:pPr>
      <w:r>
        <w:rPr>
          <w:rFonts w:eastAsia="MS Gothic" w:cs="Segoe UI Symbol" w:ascii="Segoe UI Symbol" w:hAnsi="Segoe UI Symbol"/>
          <w:b w:val="false"/>
          <w:szCs w:val="24"/>
        </w:rPr>
        <w:t>☐</w:t>
      </w:r>
      <w:r>
        <w:rPr>
          <w:rFonts w:ascii="Corbel" w:hAnsi="Corbel"/>
          <w:b/>
          <w:bCs/>
          <w:caps w:val="false"/>
          <w:smallCaps w:val="false"/>
          <w:szCs w:val="24"/>
        </w:rPr>
        <w:t xml:space="preserve"> </w:t>
      </w:r>
      <w:r>
        <w:rPr>
          <w:rFonts w:ascii="Corbel" w:hAnsi="Corbel"/>
          <w:b/>
          <w:bCs/>
          <w:caps w:val="false"/>
          <w:smallCaps w:val="false"/>
          <w:szCs w:val="24"/>
        </w:rPr>
        <w:t xml:space="preserve">zajęcia w formie tradycyjnej </w:t>
      </w:r>
    </w:p>
    <w:p>
      <w:pPr>
        <w:pStyle w:val="Punktygwne"/>
        <w:spacing w:before="0" w:after="0"/>
        <w:ind w:left="709" w:hanging="0"/>
        <w:rPr>
          <w:rFonts w:ascii="Corbel" w:hAnsi="Corbel"/>
          <w:b w:val="false"/>
          <w:b w:val="false"/>
          <w:caps w:val="false"/>
          <w:smallCaps w:val="false"/>
          <w:szCs w:val="24"/>
        </w:rPr>
      </w:pPr>
      <w:r>
        <w:rPr>
          <w:rFonts w:eastAsia="MS Gothic" w:cs="Segoe UI Symbol" w:ascii="Segoe UI Symbol" w:hAnsi="Segoe UI Symbol"/>
          <w:b w:val="false"/>
          <w:szCs w:val="24"/>
        </w:rPr>
        <w:t>☐</w:t>
      </w:r>
      <w:r>
        <w:rPr>
          <w:rFonts w:ascii="Corbel" w:hAnsi="Corbel"/>
          <w:b w:val="false"/>
          <w:caps w:val="false"/>
          <w:smallCaps w:val="false"/>
          <w:szCs w:val="24"/>
        </w:rPr>
        <w:t xml:space="preserve"> </w:t>
      </w:r>
      <w:r>
        <w:rPr>
          <w:rFonts w:ascii="Corbel" w:hAnsi="Corbel"/>
          <w:b w:val="false"/>
          <w:caps w:val="false"/>
          <w:smallCaps w:val="false"/>
          <w:szCs w:val="24"/>
        </w:rPr>
        <w:t>zajęcia realizowane z wykorzystaniem metod i technik kształcenia na odległość</w:t>
      </w:r>
    </w:p>
    <w:p>
      <w:pPr>
        <w:pStyle w:val="Punktygwne"/>
        <w:spacing w:before="0" w:after="0"/>
        <w:rPr>
          <w:rFonts w:ascii="Corbel" w:hAnsi="Corbel"/>
          <w:caps w:val="false"/>
          <w:smallCaps w:val="false"/>
          <w:szCs w:val="24"/>
        </w:rPr>
      </w:pPr>
      <w:r>
        <w:rPr>
          <w:rFonts w:ascii="Corbel" w:hAnsi="Corbel"/>
          <w:caps w:val="false"/>
          <w:smallCaps w:val="false"/>
          <w:szCs w:val="24"/>
        </w:rPr>
      </w:r>
    </w:p>
    <w:p>
      <w:pPr>
        <w:pStyle w:val="Punktygwne"/>
        <w:tabs>
          <w:tab w:val="clear" w:pos="708"/>
          <w:tab w:val="left" w:pos="709" w:leader="none"/>
        </w:tabs>
        <w:spacing w:before="0" w:after="0"/>
        <w:ind w:left="709" w:hanging="425"/>
        <w:rPr>
          <w:rFonts w:ascii="Corbel" w:hAnsi="Corbel"/>
          <w:caps w:val="false"/>
          <w:smallCaps w:val="false"/>
          <w:szCs w:val="24"/>
        </w:rPr>
      </w:pPr>
      <w:r>
        <w:rPr>
          <w:rFonts w:ascii="Corbel" w:hAnsi="Corbel"/>
          <w:caps w:val="false"/>
          <w:smallCaps w:val="false"/>
          <w:szCs w:val="24"/>
        </w:rPr>
        <w:t xml:space="preserve">1.3 </w:t>
        <w:tab/>
        <w:t xml:space="preserve">Forma zaliczenia przedmiotu  (z toku) </w:t>
      </w:r>
      <w:r>
        <w:rPr>
          <w:rFonts w:ascii="Corbel" w:hAnsi="Corbel"/>
          <w:b w:val="false"/>
          <w:caps w:val="false"/>
          <w:smallCaps w:val="false"/>
          <w:szCs w:val="24"/>
        </w:rPr>
        <w:t xml:space="preserve">(egzamin, </w:t>
      </w:r>
      <w:r>
        <w:rPr>
          <w:rFonts w:ascii="Corbel" w:hAnsi="Corbel"/>
          <w:b/>
          <w:bCs/>
          <w:caps w:val="false"/>
          <w:smallCaps w:val="false"/>
          <w:szCs w:val="24"/>
        </w:rPr>
        <w:t>zaliczenie z oceną</w:t>
      </w:r>
      <w:r>
        <w:rPr>
          <w:rFonts w:ascii="Corbel" w:hAnsi="Corbel"/>
          <w:b w:val="false"/>
          <w:caps w:val="false"/>
          <w:smallCaps w:val="false"/>
          <w:szCs w:val="24"/>
        </w:rPr>
        <w:t>, zaliczenie bez oceny)</w:t>
      </w:r>
    </w:p>
    <w:p>
      <w:pPr>
        <w:pStyle w:val="Punktygwne"/>
        <w:spacing w:before="0" w:after="0"/>
        <w:rPr>
          <w:rFonts w:ascii="Corbel" w:hAnsi="Corbel"/>
          <w:b w:val="false"/>
          <w:b w:val="false"/>
          <w:szCs w:val="24"/>
        </w:rPr>
      </w:pPr>
      <w:r>
        <w:rPr>
          <w:rFonts w:ascii="Corbel" w:hAnsi="Corbel"/>
          <w:b w:val="false"/>
          <w:szCs w:val="24"/>
        </w:rPr>
      </w:r>
    </w:p>
    <w:p>
      <w:pPr>
        <w:pStyle w:val="Punktygwne"/>
        <w:spacing w:before="0" w:after="0"/>
        <w:rPr>
          <w:rFonts w:ascii="Corbel" w:hAnsi="Corbel"/>
          <w:b w:val="false"/>
          <w:b w:val="false"/>
          <w:szCs w:val="24"/>
        </w:rPr>
      </w:pPr>
      <w:r>
        <w:rPr>
          <w:rFonts w:ascii="Corbel" w:hAnsi="Corbel"/>
          <w:b w:val="false"/>
          <w:szCs w:val="24"/>
        </w:rPr>
      </w:r>
    </w:p>
    <w:p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520"/>
      </w:tblGrid>
      <w:tr>
        <w:trPr/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40" w:after="40"/>
              <w:rPr>
                <w:rFonts w:ascii="Corbel" w:hAnsi="Corbel"/>
                <w:b w:val="false"/>
                <w:b w:val="false"/>
                <w:caps w:val="false"/>
                <w:smallCaps w:val="false"/>
                <w:color w:val="000000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color w:val="000000"/>
                <w:szCs w:val="24"/>
              </w:rPr>
              <w:t>Znajomość historii kultury na poziomie szkoły średniej, orientacja w bieżących problemach dyskursu w polu kultury, ogólna orientacja w zakresie zjawisk związanych z ramą kolonializmu i imperializmu.</w:t>
            </w:r>
          </w:p>
          <w:p>
            <w:pPr>
              <w:pStyle w:val="Punktygwne"/>
              <w:widowControl w:val="false"/>
              <w:spacing w:before="40" w:after="40"/>
              <w:rPr>
                <w:rFonts w:ascii="Corbel" w:hAnsi="Corbel"/>
                <w:b w:val="false"/>
                <w:b w:val="false"/>
                <w:caps w:val="false"/>
                <w:smallCaps w:val="false"/>
                <w:color w:val="000000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color w:val="000000"/>
                <w:szCs w:val="24"/>
              </w:rPr>
            </w:r>
          </w:p>
        </w:tc>
      </w:tr>
    </w:tbl>
    <w:p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</w:r>
    </w:p>
    <w:p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</w:r>
    </w:p>
    <w:p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>
      <w:pPr>
        <w:pStyle w:val="Podpunkty"/>
        <w:rPr>
          <w:rFonts w:ascii="Corbel" w:hAnsi="Corbel"/>
          <w:b w:val="false"/>
          <w:b w:val="false"/>
          <w:i/>
          <w:i/>
          <w:sz w:val="24"/>
          <w:szCs w:val="24"/>
        </w:rPr>
      </w:pPr>
      <w:r>
        <w:rPr>
          <w:rFonts w:ascii="Corbel" w:hAnsi="Corbel"/>
          <w:b w:val="false"/>
          <w:i/>
          <w:sz w:val="24"/>
          <w:szCs w:val="24"/>
        </w:rPr>
      </w:r>
    </w:p>
    <w:tbl>
      <w:tblPr>
        <w:tblW w:w="952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45"/>
        <w:gridCol w:w="8674"/>
      </w:tblGrid>
      <w:tr>
        <w:trPr/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odpunkty"/>
              <w:widowControl w:val="false"/>
              <w:spacing w:before="40" w:after="40"/>
              <w:ind w:left="0" w:hanging="0"/>
              <w:jc w:val="left"/>
              <w:rPr>
                <w:rFonts w:ascii="Corbel" w:hAnsi="Corbel"/>
                <w:b w:val="false"/>
                <w:b w:val="false"/>
                <w:sz w:val="24"/>
                <w:szCs w:val="24"/>
              </w:rPr>
            </w:pPr>
            <w:r>
              <w:rPr>
                <w:rFonts w:ascii="Corbel" w:hAnsi="Corbel"/>
                <w:b w:val="false"/>
                <w:sz w:val="24"/>
                <w:szCs w:val="24"/>
              </w:rPr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odpunkty"/>
              <w:widowControl w:val="false"/>
              <w:spacing w:before="40" w:after="40"/>
              <w:ind w:left="0" w:hanging="0"/>
              <w:jc w:val="left"/>
              <w:rPr>
                <w:rFonts w:ascii="Corbel" w:hAnsi="Corbel"/>
                <w:b w:val="false"/>
                <w:b w:val="false"/>
                <w:sz w:val="24"/>
                <w:szCs w:val="24"/>
              </w:rPr>
            </w:pPr>
            <w:r>
              <w:rPr>
                <w:rFonts w:ascii="Corbel" w:hAnsi="Corbel"/>
                <w:b w:val="false"/>
                <w:sz w:val="24"/>
                <w:szCs w:val="24"/>
              </w:rPr>
              <w:t xml:space="preserve">Celem przedmiotu jest zapoznanie słuchaczy z problematyką związaną z nadużyciami dyskursu postkolonialnego i postzależnościowego. Szczególna uwaga poświęcona zostanie: </w:t>
              <w:br/>
              <w:t>(a) specyfice prawicowo- i lewicowo- reakcyjnego dyskursu emancypacji gdzie terminy te (‘prawicowy’ i ‘lewicowy’ mają charakter typów, niekoniecznie zaś politycznych aliansów)</w:t>
            </w:r>
          </w:p>
          <w:p>
            <w:pPr>
              <w:pStyle w:val="Podpunkty"/>
              <w:widowControl w:val="false"/>
              <w:spacing w:before="40" w:after="40"/>
              <w:ind w:left="0" w:hanging="0"/>
              <w:jc w:val="left"/>
              <w:rPr>
                <w:rFonts w:ascii="Corbel" w:hAnsi="Corbel"/>
                <w:b w:val="false"/>
                <w:b w:val="false"/>
                <w:sz w:val="24"/>
                <w:szCs w:val="24"/>
              </w:rPr>
            </w:pPr>
            <w:r>
              <w:rPr>
                <w:rFonts w:ascii="Corbel" w:hAnsi="Corbel"/>
                <w:b w:val="false"/>
                <w:sz w:val="24"/>
                <w:szCs w:val="24"/>
              </w:rPr>
              <w:t>(b) imperialistycznemu przechwyceniu dyskursu postkolonialnego przez państwa, instytucje i ideologie neoimperialne</w:t>
            </w:r>
          </w:p>
          <w:p>
            <w:pPr>
              <w:pStyle w:val="Podpunkty"/>
              <w:widowControl w:val="false"/>
              <w:spacing w:before="40" w:after="40"/>
              <w:ind w:left="0" w:hanging="0"/>
              <w:jc w:val="left"/>
              <w:rPr>
                <w:rFonts w:ascii="Corbel" w:hAnsi="Corbel"/>
                <w:b w:val="false"/>
                <w:b w:val="false"/>
                <w:sz w:val="24"/>
                <w:szCs w:val="24"/>
              </w:rPr>
            </w:pPr>
            <w:r>
              <w:rPr>
                <w:rFonts w:ascii="Corbel" w:hAnsi="Corbel"/>
                <w:b w:val="false"/>
                <w:sz w:val="24"/>
                <w:szCs w:val="24"/>
              </w:rPr>
              <w:t>(c)  retroaktywnemu dyskursowi zależności, szczególnie w jego peryferyjnej postaci</w:t>
            </w:r>
          </w:p>
          <w:p>
            <w:pPr>
              <w:pStyle w:val="Podpunkty"/>
              <w:widowControl w:val="false"/>
              <w:spacing w:before="40" w:after="40"/>
              <w:ind w:left="0" w:hanging="0"/>
              <w:jc w:val="left"/>
              <w:rPr>
                <w:rFonts w:ascii="Corbel" w:hAnsi="Corbel"/>
                <w:b w:val="false"/>
                <w:b w:val="false"/>
                <w:sz w:val="24"/>
                <w:szCs w:val="24"/>
              </w:rPr>
            </w:pPr>
            <w:r>
              <w:rPr>
                <w:rFonts w:ascii="Corbel" w:hAnsi="Corbel"/>
                <w:b w:val="false"/>
                <w:sz w:val="24"/>
                <w:szCs w:val="24"/>
              </w:rPr>
              <w:br/>
              <w:t>Formalnie zajęcia mają postac wykładu wzbogaconego o materiały do pracy własnej w tym interaktywnej.</w:t>
            </w:r>
          </w:p>
        </w:tc>
      </w:tr>
      <w:tr>
        <w:trPr/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ele"/>
              <w:widowControl w:val="false"/>
              <w:spacing w:before="40" w:after="40"/>
              <w:ind w:left="0" w:hanging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…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odpunkty"/>
              <w:widowControl w:val="false"/>
              <w:spacing w:before="40" w:after="40"/>
              <w:ind w:left="0" w:hanging="0"/>
              <w:jc w:val="left"/>
              <w:rPr>
                <w:rFonts w:ascii="Corbel" w:hAnsi="Corbel"/>
                <w:b w:val="false"/>
                <w:b w:val="false"/>
                <w:sz w:val="24"/>
                <w:szCs w:val="24"/>
              </w:rPr>
            </w:pPr>
            <w:r>
              <w:rPr>
                <w:rFonts w:ascii="Corbel" w:hAnsi="Corbel"/>
                <w:b w:val="false"/>
                <w:sz w:val="24"/>
                <w:szCs w:val="24"/>
              </w:rPr>
            </w:r>
          </w:p>
        </w:tc>
      </w:tr>
      <w:tr>
        <w:trPr/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odpunkty"/>
              <w:widowControl w:val="false"/>
              <w:spacing w:before="40" w:after="40"/>
              <w:ind w:left="0" w:hanging="0"/>
              <w:jc w:val="left"/>
              <w:rPr>
                <w:rFonts w:ascii="Corbel" w:hAnsi="Corbel"/>
                <w:b w:val="false"/>
                <w:b w:val="false"/>
                <w:sz w:val="24"/>
                <w:szCs w:val="24"/>
              </w:rPr>
            </w:pPr>
            <w:r>
              <w:rPr>
                <w:rFonts w:ascii="Corbel" w:hAnsi="Corbel"/>
                <w:b w:val="false"/>
                <w:sz w:val="24"/>
                <w:szCs w:val="24"/>
              </w:rPr>
              <w:t>C1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odpunkty"/>
              <w:widowControl w:val="false"/>
              <w:spacing w:before="40" w:after="40"/>
              <w:ind w:left="0" w:hanging="0"/>
              <w:jc w:val="left"/>
              <w:rPr>
                <w:rFonts w:ascii="Corbel" w:hAnsi="Corbel"/>
                <w:b w:val="false"/>
                <w:b w:val="false"/>
                <w:sz w:val="24"/>
                <w:szCs w:val="24"/>
              </w:rPr>
            </w:pPr>
            <w:r>
              <w:rPr>
                <w:rFonts w:ascii="Corbel" w:hAnsi="Corbel"/>
                <w:b w:val="false"/>
                <w:sz w:val="24"/>
                <w:szCs w:val="24"/>
              </w:rPr>
              <w:t>Zapoznanie słuchaczy z głównymi problemami dyskursu postkolonialnej emancypacji</w:t>
            </w:r>
          </w:p>
        </w:tc>
      </w:tr>
      <w:tr>
        <w:trPr/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odpunkty"/>
              <w:widowControl w:val="false"/>
              <w:spacing w:before="40" w:after="40"/>
              <w:ind w:left="0" w:hanging="0"/>
              <w:jc w:val="left"/>
              <w:rPr>
                <w:rFonts w:ascii="Corbel" w:hAnsi="Corbel"/>
                <w:b w:val="false"/>
                <w:b w:val="false"/>
                <w:sz w:val="24"/>
                <w:szCs w:val="24"/>
              </w:rPr>
            </w:pPr>
            <w:r>
              <w:rPr>
                <w:rFonts w:ascii="Corbel" w:hAnsi="Corbel"/>
                <w:b w:val="false"/>
                <w:sz w:val="24"/>
                <w:szCs w:val="24"/>
              </w:rPr>
              <w:t>C2</w:t>
            </w:r>
          </w:p>
        </w:tc>
        <w:tc>
          <w:tcPr>
            <w:tcW w:w="8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odpunkty"/>
              <w:widowControl w:val="false"/>
              <w:spacing w:before="40" w:after="40"/>
              <w:ind w:left="0" w:hanging="0"/>
              <w:jc w:val="left"/>
              <w:rPr>
                <w:rFonts w:ascii="Corbel" w:hAnsi="Corbel"/>
                <w:b w:val="false"/>
                <w:b w:val="false"/>
                <w:sz w:val="24"/>
                <w:szCs w:val="24"/>
              </w:rPr>
            </w:pPr>
            <w:r>
              <w:rPr>
                <w:rFonts w:ascii="Corbel" w:hAnsi="Corbel"/>
                <w:b w:val="false"/>
                <w:sz w:val="24"/>
                <w:szCs w:val="24"/>
              </w:rPr>
              <w:t>Przygotownie słuchaczy do krytycznej lektury i refleksji nad sposobem użycia retoryk emancypacyjnych (w tym szczególnie postzależnościowych/postkolonialnych)</w:t>
            </w:r>
          </w:p>
        </w:tc>
      </w:tr>
    </w:tbl>
    <w:p>
      <w:pPr>
        <w:pStyle w:val="Punktygwne"/>
        <w:spacing w:before="0" w:after="0"/>
        <w:rPr>
          <w:rFonts w:ascii="Corbel" w:hAnsi="Corbel"/>
          <w:b w:val="false"/>
          <w:b w:val="false"/>
          <w:caps w:val="false"/>
          <w:smallCaps w:val="false"/>
          <w:color w:val="000000"/>
          <w:szCs w:val="24"/>
        </w:rPr>
      </w:pPr>
      <w:r>
        <w:rPr>
          <w:rFonts w:ascii="Corbel" w:hAnsi="Corbel"/>
          <w:b w:val="false"/>
          <w:caps w:val="false"/>
          <w:smallCaps w:val="false"/>
          <w:color w:val="000000"/>
          <w:szCs w:val="24"/>
        </w:rPr>
      </w:r>
    </w:p>
    <w:p>
      <w:pPr>
        <w:pStyle w:val="Normal"/>
        <w:spacing w:lineRule="auto" w:line="240" w:before="0" w:after="0"/>
        <w:ind w:left="426" w:hanging="0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</w:r>
    </w:p>
    <w:tbl>
      <w:tblPr>
        <w:tblW w:w="952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681"/>
        <w:gridCol w:w="5974"/>
        <w:gridCol w:w="1865"/>
      </w:tblGrid>
      <w:tr>
        <w:trPr/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unktygwne"/>
              <w:widowControl w:val="false"/>
              <w:spacing w:before="0" w:after="0"/>
              <w:jc w:val="center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caps w:val="false"/>
                <w:smallCaps w:val="false"/>
                <w:szCs w:val="24"/>
              </w:rPr>
              <w:t>EK</w:t>
            </w: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unktygwne"/>
              <w:widowControl w:val="false"/>
              <w:spacing w:before="0" w:after="0"/>
              <w:jc w:val="center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unktygwne"/>
              <w:widowControl w:val="false"/>
              <w:spacing w:before="0" w:after="0"/>
              <w:jc w:val="center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  <w:t xml:space="preserve">Odniesienie do efektów  kierunkowych </w:t>
            </w:r>
            <w:r>
              <w:rPr>
                <w:rStyle w:val="FootnoteAnchor"/>
                <w:rFonts w:ascii="Corbel" w:hAnsi="Corbel"/>
                <w:b w:val="false"/>
                <w:caps w:val="false"/>
                <w:smallCaps w:val="false"/>
                <w:szCs w:val="24"/>
              </w:rPr>
              <w:footnoteReference w:id="2"/>
            </w:r>
          </w:p>
        </w:tc>
      </w:tr>
      <w:tr>
        <w:trPr/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  <w:t>EK</w:t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  <w:t>Słuchacz zna główne wątki dyskursu postkolonialnego i ich współczesne mutacje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</w:r>
          </w:p>
        </w:tc>
      </w:tr>
      <w:tr>
        <w:trPr/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  <w:t>Słuchacz rozumie problematykę zwiazaną z pułapkami emancypacji i wtornych zależności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</w:r>
          </w:p>
        </w:tc>
      </w:tr>
      <w:tr>
        <w:trPr/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  <w:t>Słuchacz potrafi umieścić współczesną problematykę refleksji nad praktykami kulturowymi na w.w. tle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</w:r>
          </w:p>
        </w:tc>
      </w:tr>
      <w:tr>
        <w:trPr/>
        <w:tc>
          <w:tcPr>
            <w:tcW w:w="1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  <w:t>EK_04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  <w:t>Słuchacz jest zdolny do krytycznej refleksji  nad w.w. zjawiskami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</w:r>
          </w:p>
        </w:tc>
      </w:tr>
    </w:tbl>
    <w:p>
      <w:pPr>
        <w:pStyle w:val="Punktygwne"/>
        <w:spacing w:before="0" w:after="0"/>
        <w:rPr>
          <w:rFonts w:ascii="Corbel" w:hAnsi="Corbel"/>
          <w:b w:val="false"/>
          <w:b w:val="false"/>
          <w:szCs w:val="24"/>
        </w:rPr>
      </w:pPr>
      <w:r>
        <w:rPr>
          <w:rFonts w:ascii="Corbel" w:hAnsi="Corbel"/>
          <w:b w:val="false"/>
          <w:szCs w:val="24"/>
        </w:rPr>
      </w:r>
    </w:p>
    <w:p>
      <w:pPr>
        <w:pStyle w:val="ListParagraph"/>
        <w:spacing w:lineRule="auto" w:line="240"/>
        <w:ind w:left="426" w:hanging="0"/>
        <w:jc w:val="both"/>
        <w:rPr>
          <w:rFonts w:ascii="Corbel" w:hAnsi="Corbel"/>
          <w:b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>
      <w:pPr>
        <w:pStyle w:val="ListParagraph"/>
        <w:numPr>
          <w:ilvl w:val="0"/>
          <w:numId w:val="1"/>
        </w:numPr>
        <w:spacing w:lineRule="auto" w:line="240" w:before="0" w:after="120"/>
        <w:contextualSpacing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>
      <w:pPr>
        <w:pStyle w:val="ListParagraph"/>
        <w:spacing w:lineRule="auto" w:line="240" w:before="0" w:after="120"/>
        <w:ind w:left="1080" w:hanging="0"/>
        <w:contextualSpacing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</w:r>
    </w:p>
    <w:tbl>
      <w:tblPr>
        <w:tblW w:w="952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520"/>
      </w:tblGrid>
      <w:tr>
        <w:trPr/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>
        <w:trPr/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Emancypacja – od kultury wyzwolenia do kultury wyzwolonego podporządkowania</w:t>
            </w:r>
          </w:p>
        </w:tc>
      </w:tr>
      <w:tr>
        <w:trPr/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Wewnętrzne problemy inicjatyw i ruchów emancypacyjnych – hegemoni zastepczy, wtórni i lokalni/peryferyjni</w:t>
            </w:r>
          </w:p>
        </w:tc>
      </w:tr>
      <w:tr>
        <w:trPr/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Pożytki z podporzadkowania; wzorce hegemoniczne, samokolonizacja i podporządkowane fantazje imperialne</w:t>
            </w:r>
          </w:p>
        </w:tc>
      </w:tr>
      <w:tr>
        <w:trPr/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Resentyment postkolonialny – spoiwo fantazji „Globalnego Południa”</w:t>
            </w:r>
          </w:p>
        </w:tc>
      </w:tr>
      <w:tr>
        <w:trPr/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Podrzedna i peryferyjna hegemonia, reakcyjne przechwycenie dyskursu emancypacji</w:t>
            </w:r>
          </w:p>
        </w:tc>
      </w:tr>
      <w:tr>
        <w:trPr/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‘Dekolonizacja po rosyjsku’ – reasercja imperialna i wojna w Ukrainie</w:t>
            </w:r>
          </w:p>
        </w:tc>
      </w:tr>
      <w:tr>
        <w:trPr/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‘Dekolonizacje antyunijne’ – restytucje i rekonfiguracje antyemancypacyjnych dyskursów reakcji jako emancypacji</w:t>
            </w:r>
          </w:p>
        </w:tc>
      </w:tr>
      <w:tr>
        <w:trPr/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Wewnętrzne sprzeczności dyskursów emancypacji i ich problemy z kulturą podporządkowania</w:t>
            </w:r>
          </w:p>
        </w:tc>
      </w:tr>
    </w:tbl>
    <w:p>
      <w:pPr>
        <w:pStyle w:val="Normal"/>
        <w:spacing w:lineRule="auto" w:line="240" w:before="0" w:after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/>
        <w:jc w:val="both"/>
        <w:rPr>
          <w:rFonts w:ascii="Corbel" w:hAnsi="Corbel"/>
          <w:sz w:val="24"/>
          <w:szCs w:val="24"/>
          <w:highlight w:val="yellow"/>
        </w:rPr>
      </w:pPr>
      <w:r>
        <w:rPr>
          <w:rFonts w:ascii="Corbel" w:hAnsi="Corbel"/>
          <w:sz w:val="24"/>
          <w:szCs w:val="24"/>
          <w:highlight w:val="yellow"/>
        </w:rPr>
        <w:t xml:space="preserve">Problematyka ćwiczeń, konwersatoriów, laboratoriów, zajęć praktycznych </w:t>
      </w:r>
    </w:p>
    <w:p>
      <w:pPr>
        <w:pStyle w:val="ListParagraph"/>
        <w:spacing w:lineRule="auto" w:line="24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</w:r>
    </w:p>
    <w:tbl>
      <w:tblPr>
        <w:tblW w:w="952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520"/>
      </w:tblGrid>
      <w:tr>
        <w:trPr/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>
        <w:trPr/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Corbel" w:hAnsi="Corbel"/>
                <w:i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>Zajęcia zawierają istotny komponent pracy własnej z materiałem</w:t>
            </w:r>
          </w:p>
        </w:tc>
      </w:tr>
      <w:tr>
        <w:trPr/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</w:r>
          </w:p>
        </w:tc>
      </w:tr>
      <w:tr>
        <w:trPr/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</w:r>
          </w:p>
        </w:tc>
      </w:tr>
    </w:tbl>
    <w:p>
      <w:pPr>
        <w:pStyle w:val="Punktygwne"/>
        <w:spacing w:before="0" w:after="0"/>
        <w:rPr>
          <w:rFonts w:ascii="Corbel" w:hAnsi="Corbel"/>
          <w:b w:val="false"/>
          <w:b w:val="false"/>
          <w:szCs w:val="24"/>
        </w:rPr>
      </w:pPr>
      <w:r>
        <w:rPr>
          <w:rFonts w:ascii="Corbel" w:hAnsi="Corbel"/>
          <w:b w:val="false"/>
          <w:szCs w:val="24"/>
        </w:rPr>
      </w:r>
    </w:p>
    <w:p>
      <w:pPr>
        <w:pStyle w:val="Punktygwne"/>
        <w:spacing w:before="0" w:after="0"/>
        <w:ind w:left="426" w:hanging="0"/>
        <w:rPr>
          <w:rFonts w:ascii="Corbel" w:hAnsi="Corbel"/>
          <w:b w:val="false"/>
          <w:b w:val="false"/>
          <w:caps w:val="false"/>
          <w:smallCaps w:val="false"/>
          <w:szCs w:val="24"/>
        </w:rPr>
      </w:pPr>
      <w:r>
        <w:rPr>
          <w:rFonts w:ascii="Corbel" w:hAnsi="Corbel"/>
          <w:caps w:val="false"/>
          <w:smallCaps w:val="false"/>
          <w:szCs w:val="24"/>
        </w:rPr>
        <w:t>3.4 Metody dydaktyczne</w:t>
      </w:r>
      <w:r>
        <w:rPr>
          <w:rFonts w:ascii="Corbel" w:hAnsi="Corbel"/>
          <w:b w:val="false"/>
          <w:caps w:val="false"/>
          <w:smallCaps w:val="false"/>
          <w:szCs w:val="24"/>
        </w:rPr>
        <w:t xml:space="preserve"> </w:t>
      </w:r>
    </w:p>
    <w:p>
      <w:pPr>
        <w:pStyle w:val="Punktygwne"/>
        <w:spacing w:before="0" w:after="0"/>
        <w:rPr>
          <w:rFonts w:ascii="Corbel" w:hAnsi="Corbel"/>
          <w:b w:val="false"/>
          <w:b w:val="false"/>
          <w:caps w:val="false"/>
          <w:smallCaps w:val="false"/>
          <w:szCs w:val="24"/>
        </w:rPr>
      </w:pPr>
      <w:r>
        <w:rPr>
          <w:rFonts w:ascii="Corbel" w:hAnsi="Corbel"/>
          <w:b w:val="false"/>
          <w:caps w:val="false"/>
          <w:smallCaps w:val="false"/>
          <w:szCs w:val="24"/>
        </w:rPr>
      </w:r>
    </w:p>
    <w:p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false"/>
          <w:caps w:val="false"/>
          <w:smallCaps w:val="false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 xml:space="preserve">.: </w:t>
      </w:r>
    </w:p>
    <w:p>
      <w:pPr>
        <w:pStyle w:val="Punktygwne"/>
        <w:spacing w:before="0" w:after="0"/>
        <w:jc w:val="both"/>
        <w:rPr>
          <w:rFonts w:ascii="Corbel" w:hAnsi="Corbel"/>
          <w:b w:val="false"/>
          <w:b w:val="false"/>
          <w:i/>
          <w:i/>
          <w:caps w:val="false"/>
          <w:smallCaps w:val="false"/>
          <w:sz w:val="20"/>
          <w:szCs w:val="20"/>
        </w:rPr>
      </w:pPr>
      <w:r>
        <w:rPr>
          <w:rFonts w:ascii="Corbel" w:hAnsi="Corbel"/>
          <w:b w:val="false"/>
          <w:i/>
          <w:sz w:val="20"/>
          <w:szCs w:val="20"/>
        </w:rPr>
        <w:t xml:space="preserve"> </w:t>
      </w:r>
      <w:r>
        <w:rPr>
          <w:rFonts w:ascii="Corbel" w:hAnsi="Corbel"/>
          <w:b w:val="false"/>
          <w:i/>
          <w:caps w:val="false"/>
          <w:smallCaps w:val="false"/>
          <w:sz w:val="20"/>
          <w:szCs w:val="20"/>
        </w:rPr>
        <w:t xml:space="preserve">Wykład: </w:t>
      </w:r>
      <w:r>
        <w:rPr>
          <w:rFonts w:ascii="Corbel" w:hAnsi="Corbel"/>
          <w:b w:val="false"/>
          <w:i/>
          <w:caps w:val="false"/>
          <w:smallCaps w:val="false"/>
          <w:sz w:val="20"/>
          <w:szCs w:val="20"/>
          <w:u w:val="single"/>
        </w:rPr>
        <w:t>wykład problemowy, wykład z prezentacją multimedialną</w:t>
      </w:r>
      <w:r>
        <w:rPr>
          <w:rFonts w:ascii="Corbel" w:hAnsi="Corbel"/>
          <w:b w:val="false"/>
          <w:i/>
          <w:caps w:val="false"/>
          <w:smallCaps w:val="false"/>
          <w:sz w:val="20"/>
          <w:szCs w:val="20"/>
        </w:rPr>
        <w:t xml:space="preserve">, metody kształcenia na odległość </w:t>
      </w:r>
    </w:p>
    <w:p>
      <w:pPr>
        <w:pStyle w:val="Punktygwne"/>
        <w:spacing w:before="0" w:after="0"/>
        <w:jc w:val="both"/>
        <w:rPr>
          <w:rFonts w:ascii="Corbel" w:hAnsi="Corbel"/>
          <w:b w:val="false"/>
          <w:b w:val="false"/>
          <w:i/>
          <w:i/>
          <w:caps w:val="false"/>
          <w:smallCaps w:val="false"/>
          <w:sz w:val="20"/>
          <w:szCs w:val="20"/>
        </w:rPr>
      </w:pPr>
      <w:r>
        <w:rPr>
          <w:rFonts w:ascii="Corbel" w:hAnsi="Corbel"/>
          <w:b w:val="false"/>
          <w:i/>
          <w:caps w:val="false"/>
          <w:smallCaps w:val="false"/>
          <w:sz w:val="20"/>
          <w:szCs w:val="20"/>
        </w:rPr>
        <w:t xml:space="preserve">Ćwiczenia: analiza tekstów z dyskusją, </w:t>
      </w:r>
      <w:r>
        <w:rPr>
          <w:rFonts w:ascii="Corbel" w:hAnsi="Corbel"/>
          <w:b w:val="false"/>
          <w:i/>
          <w:caps w:val="false"/>
          <w:smallCaps w:val="false"/>
          <w:sz w:val="20"/>
          <w:szCs w:val="20"/>
          <w:u w:val="single"/>
        </w:rPr>
        <w:t>metoda projektów</w:t>
      </w:r>
      <w:r>
        <w:rPr>
          <w:rFonts w:ascii="Corbel" w:hAnsi="Corbel"/>
          <w:b w:val="false"/>
          <w:i/>
          <w:caps w:val="false"/>
          <w:smallCaps w:val="false"/>
          <w:sz w:val="20"/>
          <w:szCs w:val="20"/>
        </w:rPr>
        <w:t xml:space="preserve"> (projekt badawczy, wdrożeniowy, praktyczny), </w:t>
      </w:r>
      <w:r>
        <w:rPr>
          <w:rFonts w:ascii="Corbel" w:hAnsi="Corbel"/>
          <w:b w:val="false"/>
          <w:i/>
          <w:caps w:val="false"/>
          <w:smallCaps w:val="false"/>
          <w:sz w:val="20"/>
          <w:szCs w:val="20"/>
          <w:u w:val="single"/>
        </w:rPr>
        <w:t>praca w grupach</w:t>
      </w:r>
      <w:r>
        <w:rPr>
          <w:rFonts w:ascii="Corbel" w:hAnsi="Corbel"/>
          <w:b w:val="false"/>
          <w:i/>
          <w:caps w:val="false"/>
          <w:smallCaps w:val="false"/>
          <w:sz w:val="20"/>
          <w:szCs w:val="20"/>
        </w:rPr>
        <w:t xml:space="preserve"> (rozwiązywanie zadań, dyskusja),gry dydaktyczne, metody kształcenia na odległość </w:t>
      </w:r>
    </w:p>
    <w:p>
      <w:pPr>
        <w:pStyle w:val="Punktygwne"/>
        <w:spacing w:before="0" w:after="0"/>
        <w:jc w:val="both"/>
        <w:rPr>
          <w:rFonts w:ascii="Corbel" w:hAnsi="Corbel"/>
          <w:b w:val="false"/>
          <w:b w:val="false"/>
          <w:i/>
          <w:i/>
          <w:caps w:val="false"/>
          <w:smallCaps w:val="false"/>
          <w:sz w:val="20"/>
          <w:szCs w:val="20"/>
        </w:rPr>
      </w:pPr>
      <w:r>
        <w:rPr>
          <w:rFonts w:ascii="Corbel" w:hAnsi="Corbel"/>
          <w:b w:val="false"/>
          <w:i/>
          <w:caps w:val="false"/>
          <w:smallCaps w:val="false"/>
          <w:sz w:val="20"/>
          <w:szCs w:val="20"/>
        </w:rPr>
        <w:t xml:space="preserve">Laboratorium: wykonywanie doświadczeń, projektowanie doświadczeń </w:t>
      </w:r>
    </w:p>
    <w:p>
      <w:pPr>
        <w:pStyle w:val="Punktygwne"/>
        <w:spacing w:before="0" w:after="0"/>
        <w:rPr>
          <w:rFonts w:ascii="Corbel" w:hAnsi="Corbel"/>
          <w:b w:val="false"/>
          <w:b w:val="false"/>
          <w:caps w:val="false"/>
          <w:smallCaps w:val="false"/>
          <w:szCs w:val="24"/>
        </w:rPr>
      </w:pPr>
      <w:r>
        <w:rPr>
          <w:rFonts w:ascii="Corbel" w:hAnsi="Corbel"/>
          <w:b w:val="false"/>
          <w:caps w:val="false"/>
          <w:smallCaps w:val="false"/>
          <w:szCs w:val="24"/>
        </w:rPr>
      </w:r>
    </w:p>
    <w:p>
      <w:pPr>
        <w:pStyle w:val="Punktygwne"/>
        <w:tabs>
          <w:tab w:val="clear" w:pos="708"/>
          <w:tab w:val="left" w:pos="284" w:leader="none"/>
        </w:tabs>
        <w:spacing w:before="0" w:after="0"/>
        <w:rPr>
          <w:rFonts w:ascii="Corbel" w:hAnsi="Corbel"/>
          <w:caps w:val="false"/>
          <w:smallCaps w:val="false"/>
          <w:szCs w:val="24"/>
        </w:rPr>
      </w:pPr>
      <w:r>
        <w:rPr>
          <w:rFonts w:ascii="Corbel" w:hAnsi="Corbel"/>
          <w:caps w:val="false"/>
          <w:smallCaps w:val="false"/>
          <w:szCs w:val="24"/>
        </w:rPr>
      </w:r>
    </w:p>
    <w:p>
      <w:pPr>
        <w:pStyle w:val="Punktygwne"/>
        <w:tabs>
          <w:tab w:val="clear" w:pos="708"/>
          <w:tab w:val="left" w:pos="284" w:leader="none"/>
        </w:tabs>
        <w:spacing w:before="0" w:after="0"/>
        <w:rPr>
          <w:rFonts w:ascii="Corbel" w:hAnsi="Corbel"/>
          <w:caps w:val="false"/>
          <w:smallCaps w:val="false"/>
          <w:szCs w:val="24"/>
        </w:rPr>
      </w:pPr>
      <w:r>
        <w:rPr>
          <w:rFonts w:ascii="Corbel" w:hAnsi="Corbel"/>
          <w:caps w:val="false"/>
          <w:smallCaps w:val="false"/>
          <w:szCs w:val="24"/>
        </w:rPr>
      </w:r>
    </w:p>
    <w:p>
      <w:pPr>
        <w:pStyle w:val="Punktygwne"/>
        <w:tabs>
          <w:tab w:val="clear" w:pos="708"/>
          <w:tab w:val="left" w:pos="284" w:leader="none"/>
        </w:tabs>
        <w:spacing w:before="0" w:after="0"/>
        <w:rPr>
          <w:rFonts w:ascii="Corbel" w:hAnsi="Corbel"/>
          <w:caps w:val="false"/>
          <w:smallCaps w:val="false"/>
          <w:szCs w:val="24"/>
        </w:rPr>
      </w:pPr>
      <w:r>
        <w:rPr>
          <w:rFonts w:ascii="Corbel" w:hAnsi="Corbel"/>
          <w:caps w:val="false"/>
          <w:smallCaps w:val="false"/>
          <w:szCs w:val="24"/>
        </w:rPr>
      </w:r>
    </w:p>
    <w:p>
      <w:pPr>
        <w:pStyle w:val="Punktygwne"/>
        <w:tabs>
          <w:tab w:val="clear" w:pos="708"/>
          <w:tab w:val="left" w:pos="284" w:leader="none"/>
        </w:tabs>
        <w:spacing w:before="0" w:after="0"/>
        <w:rPr>
          <w:rFonts w:ascii="Corbel" w:hAnsi="Corbel"/>
          <w:caps w:val="false"/>
          <w:smallCaps w:val="false"/>
          <w:szCs w:val="24"/>
        </w:rPr>
      </w:pPr>
      <w:r>
        <w:rPr>
          <w:rFonts w:ascii="Corbel" w:hAnsi="Corbel"/>
          <w:caps w:val="false"/>
          <w:smallCaps w:val="false"/>
          <w:szCs w:val="24"/>
        </w:rPr>
      </w:r>
    </w:p>
    <w:p>
      <w:pPr>
        <w:pStyle w:val="Punktygwne"/>
        <w:tabs>
          <w:tab w:val="clear" w:pos="708"/>
          <w:tab w:val="left" w:pos="284" w:leader="none"/>
        </w:tabs>
        <w:spacing w:before="0" w:after="0"/>
        <w:rPr>
          <w:rFonts w:ascii="Corbel" w:hAnsi="Corbel"/>
          <w:caps w:val="false"/>
          <w:smallCaps w:val="false"/>
          <w:szCs w:val="24"/>
        </w:rPr>
      </w:pPr>
      <w:r>
        <w:rPr>
          <w:rFonts w:ascii="Corbel" w:hAnsi="Corbel"/>
          <w:caps w:val="false"/>
          <w:smallCaps w:val="false"/>
          <w:szCs w:val="24"/>
        </w:rPr>
        <w:t xml:space="preserve">4. METODY I KRYTERIA OCENY </w:t>
      </w:r>
    </w:p>
    <w:p>
      <w:pPr>
        <w:pStyle w:val="Punktygwne"/>
        <w:tabs>
          <w:tab w:val="clear" w:pos="708"/>
          <w:tab w:val="left" w:pos="284" w:leader="none"/>
        </w:tabs>
        <w:spacing w:before="0" w:after="0"/>
        <w:rPr>
          <w:rFonts w:ascii="Corbel" w:hAnsi="Corbel"/>
          <w:caps w:val="false"/>
          <w:smallCaps w:val="false"/>
          <w:szCs w:val="24"/>
        </w:rPr>
      </w:pPr>
      <w:r>
        <w:rPr>
          <w:rFonts w:ascii="Corbel" w:hAnsi="Corbel"/>
          <w:caps w:val="false"/>
          <w:smallCaps w:val="false"/>
          <w:szCs w:val="24"/>
        </w:rPr>
      </w:r>
    </w:p>
    <w:p>
      <w:pPr>
        <w:pStyle w:val="Punktygwne"/>
        <w:spacing w:before="0" w:after="0"/>
        <w:ind w:left="426" w:hanging="0"/>
        <w:rPr>
          <w:rFonts w:ascii="Corbel" w:hAnsi="Corbel"/>
          <w:caps w:val="false"/>
          <w:smallCaps w:val="false"/>
          <w:szCs w:val="24"/>
        </w:rPr>
      </w:pPr>
      <w:r>
        <w:rPr>
          <w:rFonts w:ascii="Corbel" w:hAnsi="Corbel"/>
          <w:caps w:val="false"/>
          <w:smallCaps w:val="false"/>
          <w:szCs w:val="24"/>
        </w:rPr>
        <w:t>4.1 Sposoby weryfikacji efektów uczenia się</w:t>
      </w:r>
    </w:p>
    <w:p>
      <w:pPr>
        <w:pStyle w:val="Punktygwne"/>
        <w:spacing w:before="0" w:after="0"/>
        <w:rPr>
          <w:rFonts w:ascii="Corbel" w:hAnsi="Corbel"/>
          <w:b w:val="false"/>
          <w:b w:val="false"/>
          <w:caps w:val="false"/>
          <w:smallCaps w:val="false"/>
          <w:szCs w:val="24"/>
        </w:rPr>
      </w:pPr>
      <w:r>
        <w:rPr>
          <w:rFonts w:ascii="Corbel" w:hAnsi="Corbel"/>
          <w:b w:val="false"/>
          <w:caps w:val="false"/>
          <w:smallCaps w:val="false"/>
          <w:szCs w:val="24"/>
        </w:rPr>
      </w:r>
    </w:p>
    <w:tbl>
      <w:tblPr>
        <w:tblW w:w="952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962"/>
        <w:gridCol w:w="5437"/>
        <w:gridCol w:w="212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unktygwne"/>
              <w:widowControl w:val="false"/>
              <w:spacing w:before="0" w:after="0"/>
              <w:jc w:val="center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  <w:t>Symbol efektu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unktygwne"/>
              <w:widowControl w:val="false"/>
              <w:spacing w:before="0" w:after="0"/>
              <w:jc w:val="center"/>
              <w:rPr>
                <w:rFonts w:ascii="Corbel" w:hAnsi="Corbel"/>
                <w:b w:val="false"/>
                <w:b w:val="false"/>
                <w:caps w:val="false"/>
                <w:smallCaps w:val="false"/>
                <w:color w:val="000000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color w:val="000000"/>
                <w:szCs w:val="24"/>
              </w:rPr>
              <w:t>Metody oceny efektów uczenia się</w:t>
            </w:r>
          </w:p>
          <w:p>
            <w:pPr>
              <w:pStyle w:val="Punktygwne"/>
              <w:widowControl w:val="false"/>
              <w:spacing w:before="0" w:after="0"/>
              <w:jc w:val="center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unktygwne"/>
              <w:widowControl w:val="false"/>
              <w:spacing w:before="0" w:after="0"/>
              <w:jc w:val="center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  <w:t xml:space="preserve">Forma zajęć dydaktycznych </w:t>
            </w:r>
          </w:p>
          <w:p>
            <w:pPr>
              <w:pStyle w:val="Punktygwne"/>
              <w:widowControl w:val="false"/>
              <w:spacing w:before="0" w:after="0"/>
              <w:jc w:val="center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  <w:t>(w, ćw, …)</w:t>
            </w:r>
          </w:p>
        </w:tc>
      </w:tr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szCs w:val="24"/>
              </w:rPr>
            </w:pPr>
            <w:r>
              <w:rPr>
                <w:rFonts w:ascii="Corbel" w:hAnsi="Corbel"/>
                <w:b w:val="false"/>
                <w:szCs w:val="24"/>
              </w:rPr>
              <w:t>Ek_ 01 - E_04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strike w:val="false"/>
                <w:dstrike w:val="false"/>
                <w:szCs w:val="24"/>
              </w:rPr>
            </w:pPr>
            <w:r>
              <w:rPr>
                <w:rFonts w:ascii="Corbel" w:hAnsi="Corbel"/>
                <w:b w:val="false"/>
                <w:strike w:val="false"/>
                <w:dstrike w:val="false"/>
                <w:szCs w:val="24"/>
              </w:rPr>
              <w:t>Obserwacja, praca w grupach, esej finalny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szCs w:val="24"/>
              </w:rPr>
            </w:pPr>
            <w:r>
              <w:rPr>
                <w:rFonts w:ascii="Corbel" w:hAnsi="Corbel"/>
                <w:b w:val="false"/>
                <w:szCs w:val="24"/>
              </w:rPr>
              <w:t>W</w:t>
            </w:r>
          </w:p>
        </w:tc>
      </w:tr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szCs w:val="24"/>
              </w:rPr>
            </w:pPr>
            <w:r>
              <w:rPr>
                <w:rFonts w:ascii="Corbel" w:hAnsi="Corbel"/>
                <w:b w:val="false"/>
                <w:szCs w:val="24"/>
              </w:rPr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szCs w:val="24"/>
              </w:rPr>
            </w:pPr>
            <w:r>
              <w:rPr>
                <w:rFonts w:ascii="Corbel" w:hAnsi="Corbel"/>
                <w:b w:val="false"/>
                <w:szCs w:val="24"/>
              </w:rPr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szCs w:val="24"/>
              </w:rPr>
            </w:pPr>
            <w:r>
              <w:rPr>
                <w:rFonts w:ascii="Corbel" w:hAnsi="Corbel"/>
                <w:b w:val="false"/>
                <w:szCs w:val="24"/>
              </w:rPr>
            </w:r>
          </w:p>
        </w:tc>
      </w:tr>
    </w:tbl>
    <w:p>
      <w:pPr>
        <w:pStyle w:val="Punktygwne"/>
        <w:spacing w:before="0" w:after="0"/>
        <w:rPr>
          <w:rFonts w:ascii="Corbel" w:hAnsi="Corbel"/>
          <w:b w:val="false"/>
          <w:b w:val="false"/>
          <w:caps w:val="false"/>
          <w:smallCaps w:val="false"/>
          <w:szCs w:val="24"/>
        </w:rPr>
      </w:pPr>
      <w:r>
        <w:rPr>
          <w:rFonts w:ascii="Corbel" w:hAnsi="Corbel"/>
          <w:b w:val="false"/>
          <w:caps w:val="false"/>
          <w:smallCaps w:val="false"/>
          <w:szCs w:val="24"/>
        </w:rPr>
      </w:r>
    </w:p>
    <w:p>
      <w:pPr>
        <w:pStyle w:val="Punktygwne"/>
        <w:spacing w:before="0" w:after="0"/>
        <w:ind w:left="426" w:hanging="0"/>
        <w:rPr>
          <w:rFonts w:ascii="Corbel" w:hAnsi="Corbel"/>
          <w:caps w:val="false"/>
          <w:smallCaps w:val="false"/>
          <w:szCs w:val="24"/>
        </w:rPr>
      </w:pPr>
      <w:r>
        <w:rPr>
          <w:rFonts w:ascii="Corbel" w:hAnsi="Corbel"/>
          <w:caps w:val="false"/>
          <w:smallCaps w:val="false"/>
          <w:szCs w:val="24"/>
        </w:rPr>
        <w:t xml:space="preserve">4.2 Warunki zaliczenia przedmiotu (kryteria oceniania) </w:t>
      </w:r>
    </w:p>
    <w:p>
      <w:pPr>
        <w:pStyle w:val="Punktygwne"/>
        <w:spacing w:before="0" w:after="0"/>
        <w:ind w:left="426" w:hanging="0"/>
        <w:rPr>
          <w:rFonts w:ascii="Corbel" w:hAnsi="Corbel"/>
          <w:caps w:val="false"/>
          <w:smallCaps w:val="false"/>
          <w:szCs w:val="24"/>
        </w:rPr>
      </w:pPr>
      <w:r>
        <w:rPr>
          <w:rFonts w:ascii="Corbel" w:hAnsi="Corbel"/>
          <w:caps w:val="false"/>
          <w:smallCaps w:val="false"/>
          <w:szCs w:val="24"/>
        </w:rPr>
      </w:r>
    </w:p>
    <w:tbl>
      <w:tblPr>
        <w:tblW w:w="952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520"/>
      </w:tblGrid>
      <w:tr>
        <w:trPr/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  <w:t>Warunkiem zaliczenia przedmiotu jest:</w:t>
            </w:r>
          </w:p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</w:r>
          </w:p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  <w:t>- aktywne uczestnictwo w zajęciach (praca w grupach, zglaszanie problemów) – 25%</w:t>
            </w:r>
          </w:p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  <w:t xml:space="preserve">- wykonanie wszystkich zleconych ćwiczeń – </w:t>
            </w: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  <w:t>7</w:t>
            </w: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  <w:t>5%</w:t>
            </w:r>
          </w:p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</w:r>
          </w:p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</w:r>
          </w:p>
        </w:tc>
      </w:tr>
    </w:tbl>
    <w:p>
      <w:pPr>
        <w:pStyle w:val="Punktygwne"/>
        <w:spacing w:before="0" w:after="0"/>
        <w:rPr>
          <w:rFonts w:ascii="Corbel" w:hAnsi="Corbel"/>
          <w:b w:val="false"/>
          <w:b w:val="false"/>
          <w:caps w:val="false"/>
          <w:smallCaps w:val="false"/>
          <w:szCs w:val="24"/>
        </w:rPr>
      </w:pPr>
      <w:r>
        <w:rPr>
          <w:rFonts w:ascii="Corbel" w:hAnsi="Corbel"/>
          <w:b w:val="false"/>
          <w:caps w:val="false"/>
          <w:smallCaps w:val="false"/>
          <w:szCs w:val="24"/>
        </w:rPr>
      </w:r>
    </w:p>
    <w:p>
      <w:pPr>
        <w:pStyle w:val="NoSpacing"/>
        <w:ind w:left="284" w:hanging="284"/>
        <w:jc w:val="both"/>
        <w:rPr>
          <w:rFonts w:ascii="Corbel" w:hAnsi="Corbel"/>
          <w:b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>
      <w:pPr>
        <w:pStyle w:val="Punktygwne"/>
        <w:spacing w:before="0" w:after="0"/>
        <w:rPr>
          <w:rFonts w:ascii="Corbel" w:hAnsi="Corbel"/>
          <w:b w:val="false"/>
          <w:b w:val="false"/>
          <w:caps w:val="false"/>
          <w:smallCaps w:val="false"/>
          <w:szCs w:val="24"/>
        </w:rPr>
      </w:pPr>
      <w:r>
        <w:rPr>
          <w:rFonts w:ascii="Corbel" w:hAnsi="Corbel"/>
          <w:b w:val="false"/>
          <w:caps w:val="false"/>
          <w:smallCaps w:val="false"/>
          <w:szCs w:val="24"/>
        </w:rPr>
      </w:r>
    </w:p>
    <w:tbl>
      <w:tblPr>
        <w:tblW w:w="952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901"/>
        <w:gridCol w:w="4618"/>
      </w:tblGrid>
      <w:tr>
        <w:trPr/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Corbel" w:hAnsi="Corbel"/>
                <w:b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center"/>
              <w:rPr>
                <w:rFonts w:ascii="Corbel" w:hAnsi="Corbel"/>
                <w:b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>
        <w:trPr/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>
        <w:trPr/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(i wedle potrzeb)</w:t>
            </w:r>
          </w:p>
        </w:tc>
      </w:tr>
      <w:tr>
        <w:trPr/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>
        <w:trPr/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>
        <w:trPr/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Corbel" w:hAnsi="Corbel"/>
                <w:b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>
      <w:pPr>
        <w:pStyle w:val="Punktygwne"/>
        <w:spacing w:before="0" w:after="0"/>
        <w:ind w:left="426" w:hanging="0"/>
        <w:rPr>
          <w:rFonts w:ascii="Corbel" w:hAnsi="Corbel"/>
          <w:b w:val="false"/>
          <w:b w:val="false"/>
          <w:i/>
          <w:i/>
          <w:caps w:val="false"/>
          <w:smallCaps w:val="false"/>
          <w:szCs w:val="24"/>
        </w:rPr>
      </w:pPr>
      <w:r>
        <w:rPr>
          <w:rFonts w:ascii="Corbel" w:hAnsi="Corbel"/>
          <w:b w:val="false"/>
          <w:i/>
          <w:caps w:val="false"/>
          <w:smallCaps w:val="false"/>
          <w:szCs w:val="24"/>
        </w:rPr>
        <w:t>* Należy uwzględnić, że 1 pkt ECTS odpowiada 25-30 godzin całkowitego nakładu pracy studenta.</w:t>
      </w:r>
    </w:p>
    <w:p>
      <w:pPr>
        <w:pStyle w:val="Punktygwne"/>
        <w:spacing w:before="0" w:after="0"/>
        <w:rPr>
          <w:rFonts w:ascii="Corbel" w:hAnsi="Corbel"/>
          <w:b w:val="false"/>
          <w:b w:val="false"/>
          <w:caps w:val="false"/>
          <w:smallCaps w:val="false"/>
          <w:szCs w:val="24"/>
        </w:rPr>
      </w:pPr>
      <w:r>
        <w:rPr>
          <w:rFonts w:ascii="Corbel" w:hAnsi="Corbel"/>
          <w:b w:val="false"/>
          <w:caps w:val="false"/>
          <w:smallCaps w:val="false"/>
          <w:szCs w:val="24"/>
        </w:rPr>
      </w:r>
    </w:p>
    <w:p>
      <w:pPr>
        <w:pStyle w:val="Punktygwne"/>
        <w:spacing w:before="0" w:after="0"/>
        <w:rPr>
          <w:rFonts w:ascii="Corbel" w:hAnsi="Corbel"/>
          <w:caps w:val="false"/>
          <w:smallCaps w:val="false"/>
          <w:szCs w:val="24"/>
        </w:rPr>
      </w:pPr>
      <w:r>
        <w:rPr>
          <w:rFonts w:ascii="Corbel" w:hAnsi="Corbel"/>
          <w:caps w:val="false"/>
          <w:smallCaps w:val="false"/>
          <w:szCs w:val="24"/>
        </w:rPr>
        <w:t>6. PRAKTYKI ZAWODOWE W RAMACH PRZEDMIOTU</w:t>
      </w:r>
    </w:p>
    <w:p>
      <w:pPr>
        <w:pStyle w:val="Punktygwne"/>
        <w:spacing w:before="0" w:after="0"/>
        <w:ind w:left="360" w:hanging="0"/>
        <w:rPr>
          <w:rFonts w:ascii="Corbel" w:hAnsi="Corbel"/>
          <w:caps w:val="false"/>
          <w:smallCaps w:val="false"/>
          <w:szCs w:val="24"/>
        </w:rPr>
      </w:pPr>
      <w:r>
        <w:rPr>
          <w:rFonts w:ascii="Corbel" w:hAnsi="Corbel"/>
          <w:caps w:val="false"/>
          <w:smallCaps w:val="false"/>
          <w:szCs w:val="24"/>
        </w:rPr>
      </w:r>
    </w:p>
    <w:tbl>
      <w:tblPr>
        <w:tblW w:w="7514" w:type="dxa"/>
        <w:jc w:val="left"/>
        <w:tblInd w:w="6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44"/>
        <w:gridCol w:w="3969"/>
      </w:tblGrid>
      <w:tr>
        <w:trPr>
          <w:trHeight w:val="397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caps w:val="false"/>
                <w:smallCaps w:val="false"/>
                <w:color w:val="000000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color w:val="000000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>
                <w:rFonts w:ascii="Corbel" w:hAnsi="Corbel"/>
                <w:b w:val="false"/>
                <w:b w:val="false"/>
                <w:caps w:val="false"/>
                <w:smallCaps w:val="false"/>
                <w:szCs w:val="24"/>
              </w:rPr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</w:r>
          </w:p>
        </w:tc>
      </w:tr>
    </w:tbl>
    <w:p>
      <w:pPr>
        <w:pStyle w:val="Punktygwne"/>
        <w:spacing w:before="0" w:after="0"/>
        <w:ind w:left="360" w:hanging="0"/>
        <w:rPr>
          <w:rFonts w:ascii="Corbel" w:hAnsi="Corbel"/>
          <w:b w:val="false"/>
          <w:b w:val="false"/>
          <w:caps w:val="false"/>
          <w:smallCaps w:val="false"/>
          <w:szCs w:val="24"/>
        </w:rPr>
      </w:pPr>
      <w:r>
        <w:rPr>
          <w:rFonts w:ascii="Corbel" w:hAnsi="Corbel"/>
          <w:b w:val="false"/>
          <w:caps w:val="false"/>
          <w:smallCaps w:val="false"/>
          <w:szCs w:val="24"/>
        </w:rPr>
      </w:r>
    </w:p>
    <w:p>
      <w:pPr>
        <w:pStyle w:val="Punktygwne"/>
        <w:spacing w:before="0" w:after="0"/>
        <w:rPr>
          <w:rFonts w:ascii="Corbel" w:hAnsi="Corbel"/>
          <w:caps w:val="false"/>
          <w:smallCaps w:val="false"/>
          <w:szCs w:val="24"/>
        </w:rPr>
      </w:pPr>
      <w:r>
        <w:rPr>
          <w:rFonts w:ascii="Corbel" w:hAnsi="Corbel"/>
          <w:caps w:val="false"/>
          <w:smallCaps w:val="false"/>
          <w:szCs w:val="24"/>
        </w:rPr>
        <w:t xml:space="preserve">7. LITERATURA </w:t>
      </w:r>
    </w:p>
    <w:p>
      <w:pPr>
        <w:pStyle w:val="Punktygwne"/>
        <w:spacing w:before="0" w:after="0"/>
        <w:rPr>
          <w:rFonts w:ascii="Corbel" w:hAnsi="Corbel"/>
          <w:caps w:val="false"/>
          <w:smallCaps w:val="false"/>
          <w:szCs w:val="24"/>
        </w:rPr>
      </w:pPr>
      <w:r>
        <w:rPr>
          <w:rFonts w:ascii="Corbel" w:hAnsi="Corbel"/>
          <w:caps w:val="false"/>
          <w:smallCaps w:val="false"/>
          <w:szCs w:val="24"/>
        </w:rPr>
      </w:r>
    </w:p>
    <w:tbl>
      <w:tblPr>
        <w:tblW w:w="7514" w:type="dxa"/>
        <w:jc w:val="left"/>
        <w:tblInd w:w="6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514"/>
      </w:tblGrid>
      <w:tr>
        <w:trPr>
          <w:trHeight w:val="397" w:hRule="atLeast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/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  <w:t>Literatura podstawowa:</w:t>
            </w:r>
          </w:p>
          <w:p>
            <w:pPr>
              <w:pStyle w:val="Punktygwne"/>
              <w:widowControl w:val="false"/>
              <w:spacing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Garuda" w:hAnsi="Garuda"/>
                <w:b w:val="false"/>
                <w:caps w:val="false"/>
                <w:smallCaps w:val="false"/>
                <w:sz w:val="20"/>
                <w:szCs w:val="20"/>
              </w:rPr>
              <w:t xml:space="preserve">Bakić-Hayden Milica, 1995, </w:t>
            </w:r>
            <w:r>
              <w:rPr>
                <w:rFonts w:cs="Times New Roman" w:ascii="Garuda" w:hAnsi="Garuda"/>
                <w:b w:val="false"/>
                <w:i/>
                <w:iCs/>
                <w:caps w:val="false"/>
                <w:smallCaps w:val="false"/>
                <w:sz w:val="20"/>
                <w:szCs w:val="20"/>
              </w:rPr>
              <w:t>Nesting Orientalisms: The Case of Former Yugoslavia</w:t>
            </w:r>
            <w:r>
              <w:rPr>
                <w:rFonts w:cs="Times New Roman" w:ascii="Garuda" w:hAnsi="Garuda"/>
                <w:b w:val="false"/>
                <w:caps w:val="false"/>
                <w:smallCaps w:val="false"/>
                <w:sz w:val="20"/>
                <w:szCs w:val="20"/>
              </w:rPr>
              <w:t>. „Slavic Review” 54 (4): 917–31.</w:t>
            </w:r>
          </w:p>
          <w:p>
            <w:pPr>
              <w:pStyle w:val="Normal"/>
              <w:widowControl w:val="false"/>
              <w:spacing w:before="0" w:after="0"/>
              <w:rPr>
                <w:rFonts w:ascii="Garuda" w:hAnsi="Garuda" w:cs="Corbel"/>
                <w:b w:val="false"/>
                <w:b w:val="false"/>
                <w:caps w:val="false"/>
                <w:smallCaps w:val="false"/>
                <w:sz w:val="20"/>
                <w:szCs w:val="20"/>
              </w:rPr>
            </w:pPr>
            <w:r>
              <w:rPr>
                <w:rFonts w:cs="Corbel" w:ascii="Garuda" w:hAnsi="Garuda"/>
                <w:b w:val="false"/>
                <w:bCs w:val="false"/>
                <w:caps w:val="false"/>
                <w:smallCaps w:val="false"/>
                <w:sz w:val="20"/>
                <w:szCs w:val="20"/>
              </w:rPr>
              <w:t>Balibar E. (2009) Europe as Borderland, Environment and Planning D: Society and Space 27 (2) s. 190–215. doi:10.1068/d13008.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Corbel" w:ascii="Garuda" w:hAnsi="Garuda"/>
                <w:b w:val="false"/>
                <w:bCs w:val="false"/>
                <w:caps w:val="false"/>
                <w:smallCaps w:val="false"/>
                <w:sz w:val="20"/>
                <w:szCs w:val="20"/>
              </w:rPr>
              <w:t xml:space="preserve">Bill S. (2014) Seeking the Authentic: Polish Culture and the Nature of Postcolonial Theory, NONsite.org, (online:) https://nonsite.org/seeking-the-authentic-polish-culture-and-the-nature-of-postcolonial-theory/ 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Corbel" w:ascii="Garuda" w:hAnsi="Garuda"/>
                <w:b w:val="false"/>
                <w:bCs w:val="false"/>
                <w:caps w:val="false"/>
                <w:smallCaps w:val="false"/>
                <w:sz w:val="20"/>
                <w:szCs w:val="20"/>
              </w:rPr>
              <w:t>Etkind A. (2003)  Internal Colonization and Russian Cultural History, „Ulbandus”, 7, s. 17–25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Corbel" w:ascii="Garuda" w:hAnsi="Garuda"/>
                <w:b w:val="false"/>
                <w:bCs w:val="false"/>
                <w:caps w:val="false"/>
                <w:smallCaps w:val="false"/>
                <w:sz w:val="20"/>
                <w:szCs w:val="20"/>
              </w:rPr>
              <w:t>Kiossev A. (1995) Notes on Self-colonising Cultures (w:) Ginev D., Sejersted Fr.,  Simeonova K. (red.) Cultural Aspects of the Modernisation Process, Oslo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Corbel" w:ascii="Garuda" w:hAnsi="Garuda"/>
                <w:b w:val="false"/>
                <w:bCs w:val="false"/>
                <w:caps w:val="false"/>
                <w:smallCaps w:val="false"/>
                <w:sz w:val="20"/>
                <w:szCs w:val="20"/>
              </w:rPr>
              <w:t xml:space="preserve">Said, E. W. (1991) Orientalizm. (any edition) 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Style w:val="StrongEmphasis"/>
                <w:rFonts w:cs="Corbel" w:ascii="Garuda" w:hAnsi="Garuda"/>
                <w:b w:val="false"/>
                <w:bCs w:val="false"/>
                <w:caps w:val="false"/>
                <w:smallCaps w:val="false"/>
                <w:color w:val="000000"/>
                <w:sz w:val="20"/>
                <w:szCs w:val="20"/>
              </w:rPr>
              <w:t xml:space="preserve">Zarycki T. (2014) Ideologies of Eastness in Central and Eastern Europe, Routledge, London </w:t>
            </w:r>
          </w:p>
          <w:p>
            <w:pPr>
              <w:pStyle w:val="Normal"/>
              <w:widowControl w:val="false"/>
              <w:spacing w:lineRule="auto" w:line="360" w:before="0" w:after="0"/>
              <w:rPr/>
            </w:pPr>
            <w:r>
              <w:rPr>
                <w:rStyle w:val="Emphasis"/>
                <w:rFonts w:eastAsia="Times New Roman" w:cs="Times New Roman" w:ascii="Garuda" w:hAnsi="Garud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en-US" w:eastAsia="zh-CN" w:bidi="en-US"/>
              </w:rPr>
              <w:t xml:space="preserve">Bhabha Homi K, 1984, </w:t>
            </w:r>
            <w:r>
              <w:rPr>
                <w:rStyle w:val="Emphasis"/>
                <w:rFonts w:eastAsia="Times New Roman" w:cs="Times New Roman" w:ascii="Garuda" w:hAnsi="Garuda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-15"/>
                <w:sz w:val="20"/>
                <w:szCs w:val="20"/>
                <w:lang w:val="en-US" w:eastAsia="zh-CN" w:bidi="en-US"/>
              </w:rPr>
              <w:t>Of Mimicry and Man: The Ambivalence of Colonial Discourse</w:t>
            </w:r>
            <w:r>
              <w:rPr>
                <w:rStyle w:val="Emphasis"/>
                <w:rFonts w:eastAsia="Times New Roman" w:cs="Times New Roman" w:ascii="Garuda" w:hAnsi="Garud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en-US" w:eastAsia="zh-CN" w:bidi="en-US"/>
              </w:rPr>
              <w:t xml:space="preserve">, „October” 28, s. 125-133 </w:t>
            </w:r>
          </w:p>
          <w:p>
            <w:pPr>
              <w:pStyle w:val="Normal"/>
              <w:widowControl w:val="false"/>
              <w:spacing w:lineRule="auto" w:line="360"/>
              <w:rPr/>
            </w:pPr>
            <w:r>
              <w:rPr>
                <w:rStyle w:val="Emphasis"/>
                <w:rFonts w:cs="Corbel" w:ascii="Garuda" w:hAnsi="Garud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pl-PL" w:eastAsia="zh-CN" w:bidi="en-US"/>
              </w:rPr>
              <w:t>Böröcz J. (2001),</w:t>
            </w:r>
            <w:r>
              <w:rPr>
                <w:rStyle w:val="Emphasis"/>
                <w:rFonts w:cs="Corbel" w:ascii="Garuda" w:hAnsi="Garuda"/>
                <w:b w:val="false"/>
                <w:b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pl-PL" w:eastAsia="zh-CN" w:bidi="en-US"/>
              </w:rPr>
              <w:t xml:space="preserve"> Introduction: Empire and Coloniality in the "Eastern Enlargement” of the European Union.</w:t>
            </w:r>
            <w:r>
              <w:rPr>
                <w:rStyle w:val="Emphasis"/>
                <w:rFonts w:cs="Corbel" w:ascii="Garuda" w:hAnsi="Garud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pl-PL" w:eastAsia="zh-CN" w:bidi="en-US"/>
              </w:rPr>
              <w:t xml:space="preserve"> [w:] Böröcz J, Kovács M. (red.)</w:t>
            </w:r>
            <w:r>
              <w:rPr>
                <w:rStyle w:val="Emphasis"/>
                <w:rFonts w:cs="Corbel" w:ascii="Garuda" w:hAnsi="Garuda"/>
                <w:b w:val="false"/>
                <w:b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pl-PL" w:eastAsia="zh-CN" w:bidi="en-US"/>
              </w:rPr>
              <w:t>, Empire's New Clothes. Unveiling EU Enlargement,</w:t>
            </w:r>
            <w:r>
              <w:rPr>
                <w:rStyle w:val="Emphasis"/>
                <w:rFonts w:cs="Corbel" w:ascii="Garuda" w:hAnsi="Garud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pl-PL" w:eastAsia="zh-CN" w:bidi="en-US"/>
              </w:rPr>
              <w:t xml:space="preserve"> Holly Cottage: Central European Review, s. 4–5; dostępne też jako e-book: http://aei.pitt.edu/144/1/Empire.pdf (dostęp: 2017.01.20) </w:t>
            </w:r>
          </w:p>
          <w:p>
            <w:pPr>
              <w:pStyle w:val="Normal"/>
              <w:widowControl w:val="false"/>
              <w:spacing w:lineRule="auto" w:line="360" w:before="0" w:after="0"/>
              <w:rPr/>
            </w:pPr>
            <w:r>
              <w:rPr>
                <w:rStyle w:val="Emphasis"/>
                <w:rFonts w:cs="Corbel" w:ascii="Garuda" w:hAnsi="Garud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pl-PL" w:eastAsia="zh-CN" w:bidi="en-US"/>
              </w:rPr>
              <w:t xml:space="preserve">Böröcz J., </w:t>
            </w:r>
            <w:r>
              <w:rPr>
                <w:rStyle w:val="Emphasis"/>
                <w:rFonts w:cs="Corbel" w:ascii="Garuda" w:hAnsi="Garuda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-15"/>
                <w:sz w:val="20"/>
                <w:szCs w:val="20"/>
                <w:lang w:val="pl-PL" w:eastAsia="zh-CN" w:bidi="en-US"/>
              </w:rPr>
              <w:t xml:space="preserve">From Comprador State to Auctioneer State: Property Change, Realignment, and Peripherialization in Post-state-socialist Central and Eastern Europe, </w:t>
            </w:r>
            <w:r>
              <w:rPr>
                <w:rStyle w:val="Emphasis"/>
                <w:rFonts w:cs="Corbel" w:ascii="Garuda" w:hAnsi="Garud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pl-PL" w:eastAsia="zh-CN" w:bidi="en-US"/>
              </w:rPr>
              <w:t>Routlege, London 1999</w:t>
            </w:r>
          </w:p>
          <w:p>
            <w:pPr>
              <w:pStyle w:val="Normal"/>
              <w:widowControl w:val="false"/>
              <w:spacing w:lineRule="auto" w:line="360" w:before="0" w:after="0"/>
              <w:rPr/>
            </w:pPr>
            <w:r>
              <w:rPr>
                <w:rStyle w:val="Emphasis"/>
                <w:rFonts w:eastAsia="Times New Roman" w:cs="Times New Roman" w:ascii="Garuda" w:hAnsi="Garud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en-US" w:eastAsia="zh-CN" w:bidi="en-US"/>
              </w:rPr>
              <w:t xml:space="preserve">Buchowski Michał, 2006,  </w:t>
            </w:r>
            <w:r>
              <w:rPr>
                <w:rStyle w:val="Emphasis"/>
                <w:rFonts w:eastAsia="Times New Roman" w:cs="Times New Roman" w:ascii="Garuda" w:hAnsi="Garuda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-15"/>
                <w:sz w:val="20"/>
                <w:szCs w:val="20"/>
                <w:lang w:val="en-US" w:eastAsia="zh-CN" w:bidi="en-US"/>
              </w:rPr>
              <w:t>The Specter of Orientalism in Europe: From Exotic Other to Stigmatized Brother.</w:t>
            </w:r>
            <w:r>
              <w:rPr>
                <w:rStyle w:val="Emphasis"/>
                <w:rFonts w:eastAsia="Times New Roman" w:cs="Times New Roman" w:ascii="Garuda" w:hAnsi="Garud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en-US" w:eastAsia="zh-CN" w:bidi="en-US"/>
              </w:rPr>
              <w:t xml:space="preserve"> Anthropological Quarterly, 79 (3): 463-482 </w:t>
            </w:r>
          </w:p>
          <w:p>
            <w:pPr>
              <w:pStyle w:val="Punktygwne"/>
              <w:widowControl w:val="false"/>
              <w:spacing w:before="0" w:after="0"/>
              <w:rPr/>
            </w:pPr>
            <w:r>
              <w:rPr/>
            </w:r>
          </w:p>
          <w:p>
            <w:pPr>
              <w:pStyle w:val="Punktygwne"/>
              <w:widowControl w:val="false"/>
              <w:spacing w:before="0" w:after="0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unktygwne"/>
              <w:widowControl w:val="false"/>
              <w:spacing w:before="0" w:after="0"/>
              <w:rPr/>
            </w:pPr>
            <w:r>
              <w:rPr>
                <w:rFonts w:ascii="Corbel" w:hAnsi="Corbel"/>
                <w:b w:val="false"/>
                <w:caps w:val="false"/>
                <w:smallCaps w:val="false"/>
                <w:szCs w:val="24"/>
              </w:rPr>
              <w:t xml:space="preserve">Literatura uzupełniająca: </w:t>
            </w:r>
          </w:p>
          <w:p>
            <w:pPr>
              <w:pStyle w:val="Normal"/>
              <w:widowControl w:val="false"/>
              <w:spacing w:before="0" w:after="0"/>
              <w:rPr>
                <w:rFonts w:ascii="Garuda;angsananew" w:hAnsi="Garuda;angsananew" w:cs="Garuda;angsananew"/>
                <w:b w:val="false"/>
                <w:b w:val="false"/>
                <w:bCs w:val="false"/>
                <w:caps w:val="false"/>
                <w:smallCaps w:val="false"/>
                <w:sz w:val="20"/>
                <w:szCs w:val="20"/>
              </w:rPr>
            </w:pPr>
            <w:r>
              <w:rPr>
                <w:rFonts w:cs="Garuda;angsananew" w:ascii="Garuda;angsananew" w:hAnsi="Garuda;angsananew"/>
                <w:b w:val="false"/>
                <w:bCs w:val="false"/>
                <w:caps w:val="false"/>
                <w:smallCaps w:val="false"/>
                <w:sz w:val="20"/>
                <w:szCs w:val="20"/>
              </w:rPr>
              <w:t xml:space="preserve">Chakrabarty D. (2011) Prowincjonalizacja Europy. Myśl postkolonialna i różnica historyczna, (z nowa przedmową autora) tł. D. Kołodziejczyk, T. Dobrogoszcz, E. Domańska, posłowie E. Domańska, Wydawnictwo Poznańskie, Poznań </w:t>
            </w:r>
          </w:p>
          <w:p>
            <w:pPr>
              <w:pStyle w:val="Normal"/>
              <w:widowControl w:val="false"/>
              <w:spacing w:before="0" w:after="0"/>
              <w:rPr>
                <w:rFonts w:ascii="Garuda;angsananew" w:hAnsi="Garuda;angsananew" w:cs="Garuda;angsananew"/>
                <w:b w:val="false"/>
                <w:b w:val="false"/>
                <w:bCs w:val="false"/>
                <w:caps w:val="false"/>
                <w:smallCaps w:val="false"/>
                <w:sz w:val="20"/>
                <w:szCs w:val="20"/>
              </w:rPr>
            </w:pPr>
            <w:r>
              <w:rPr>
                <w:rFonts w:cs="Garuda;angsananew" w:ascii="Garuda;angsananew" w:hAnsi="Garuda;angsananew"/>
                <w:b w:val="false"/>
                <w:bCs w:val="false"/>
                <w:caps w:val="false"/>
                <w:smallCaps w:val="false"/>
                <w:sz w:val="20"/>
                <w:szCs w:val="20"/>
              </w:rPr>
              <w:t>Čolovič I. (2001) Polityka Symboli. Eseje o antropologii politycznej, tł. M. Petryńska, Universitas, Kraków</w:t>
            </w:r>
          </w:p>
          <w:p>
            <w:pPr>
              <w:pStyle w:val="Normal"/>
              <w:widowControl w:val="false"/>
              <w:spacing w:lineRule="auto" w:line="360" w:before="0" w:after="0"/>
              <w:rPr/>
            </w:pPr>
            <w:r>
              <w:rPr>
                <w:rStyle w:val="Emphasis"/>
                <w:rFonts w:cs="Garuda;angsananew" w:ascii="Garuda;angsananew" w:hAnsi="Garuda;angsananew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pl-PL" w:eastAsia="zh-CN" w:bidi="en-US"/>
              </w:rPr>
              <w:t>Dunn E. (2008)</w:t>
            </w:r>
            <w:r>
              <w:rPr>
                <w:rStyle w:val="Emphasis"/>
                <w:rFonts w:cs="Garuda;angsananew" w:ascii="Garuda;angsananew" w:hAnsi="Garuda;angsananew"/>
                <w:b w:val="false"/>
                <w:b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pl-PL" w:eastAsia="zh-CN" w:bidi="en-US"/>
              </w:rPr>
              <w:t xml:space="preserve">, Prywatyzując Polskę. O bobofrutach, wielkim biznesie i restrukturyzacji pracy, </w:t>
            </w:r>
            <w:r>
              <w:rPr>
                <w:rStyle w:val="Emphasis"/>
                <w:rFonts w:cs="Garuda;angsananew" w:ascii="Garuda;angsananew" w:hAnsi="Garuda;angsananew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pl-PL" w:eastAsia="zh-CN" w:bidi="en-US"/>
              </w:rPr>
              <w:t>tł. P. Sadura, Wydawnictwo Krytyki Politycznej, Warszawa</w:t>
            </w:r>
          </w:p>
          <w:p>
            <w:pPr>
              <w:pStyle w:val="Punktygwne"/>
              <w:widowControl w:val="false"/>
              <w:spacing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360" w:before="0" w:after="0"/>
              <w:rPr/>
            </w:pPr>
            <w:r>
              <w:rPr>
                <w:rStyle w:val="Emphasis"/>
                <w:rFonts w:eastAsia="Times New Roman" w:cs="Corbel" w:ascii="Garuda" w:hAnsi="Garud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en-US" w:eastAsia="zh-CN" w:bidi="en-US"/>
              </w:rPr>
              <w:t>Delanty, G. (1997) Inventig Europe. Idea, Identity, Reality, St. Martin Press, NY</w:t>
            </w:r>
          </w:p>
          <w:p>
            <w:pPr>
              <w:pStyle w:val="Normal"/>
              <w:widowControl w:val="false"/>
              <w:spacing w:lineRule="auto" w:line="360" w:before="0" w:after="0"/>
              <w:rPr/>
            </w:pPr>
            <w:r>
              <w:rPr>
                <w:rStyle w:val="Emphasis"/>
                <w:rFonts w:eastAsia="Times New Roman" w:cs="Corbel" w:ascii="Garuda" w:hAnsi="Garud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en-US" w:eastAsia="zh-CN" w:bidi="en-US"/>
              </w:rPr>
              <w:t>Etkind A. (2003)  Internal Colonization and Russian Cultural History, „Ulbandus”, 7, s. 17–25</w:t>
            </w:r>
          </w:p>
          <w:p>
            <w:pPr>
              <w:pStyle w:val="Normal"/>
              <w:widowControl w:val="false"/>
              <w:rPr/>
            </w:pPr>
            <w:r>
              <w:rPr>
                <w:rFonts w:cs="Garuda;angsananew" w:ascii="Garuda;angsananew" w:hAnsi="Garuda;angsananew"/>
                <w:sz w:val="20"/>
                <w:szCs w:val="20"/>
              </w:rPr>
              <w:t>Fanon Fr. (1985) Wyklęty lud ziemi, tł. Tygielska H., PIW, Warszawa</w:t>
            </w:r>
          </w:p>
          <w:p>
            <w:pPr>
              <w:pStyle w:val="Normal"/>
              <w:widowControl w:val="false"/>
              <w:spacing w:lineRule="auto" w:line="360" w:before="0" w:after="0"/>
              <w:rPr/>
            </w:pPr>
            <w:r>
              <w:rPr>
                <w:rStyle w:val="Emphasis"/>
                <w:rFonts w:eastAsia="Times New Roman" w:cs="Garuda;angsananew" w:ascii="Garuda;angsananew" w:hAnsi="Garuda;angsananew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en-US" w:eastAsia="zh-CN" w:bidi="en-US"/>
              </w:rPr>
              <w:t xml:space="preserve">Fanon Fr. (2020) Czarna skóra, białe maski, tł. Kropiwiec U., Wyd. Karaterk Kraków </w:t>
            </w:r>
          </w:p>
          <w:p>
            <w:pPr>
              <w:pStyle w:val="Normal"/>
              <w:widowControl w:val="false"/>
              <w:spacing w:lineRule="auto" w:line="360" w:before="0" w:after="0"/>
              <w:rPr>
                <w:rFonts w:ascii="Garuda;angsananew" w:hAnsi="Garuda;angsananew" w:cs="Garuda;angsananew"/>
                <w:b w:val="false"/>
                <w:b w:val="false"/>
                <w:bCs w:val="false"/>
                <w:caps w:val="false"/>
                <w:smallCaps w:val="false"/>
                <w:sz w:val="20"/>
                <w:szCs w:val="20"/>
              </w:rPr>
            </w:pPr>
            <w:r>
              <w:rPr>
                <w:rStyle w:val="Emphasis"/>
                <w:rFonts w:eastAsia="Times New Roman" w:cs="Garuda;angsananew" w:ascii="Garuda;angsananew" w:hAnsi="Garuda;angsananew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en-US" w:eastAsia="zh-CN" w:bidi="en-US"/>
              </w:rPr>
              <w:t>Kagarlicki B. (2012) Imperium peryferii. Rosja i system światowy, tł. Ł. Leonkiewicz, B. Szulęcka, Wyd. Krytyka Polityczna, Warszawa</w:t>
            </w:r>
          </w:p>
          <w:p>
            <w:pPr>
              <w:pStyle w:val="Normal"/>
              <w:widowControl w:val="false"/>
              <w:rPr/>
            </w:pPr>
            <w:r>
              <w:rPr>
                <w:rFonts w:ascii="Garuda" w:hAnsi="Garuda"/>
                <w:b w:val="false"/>
                <w:bCs w:val="false"/>
                <w:sz w:val="20"/>
                <w:szCs w:val="20"/>
              </w:rPr>
              <w:t>Kiossev A. (1995) Notes on Self-colonising Cultures (w:) Ginev D., Sejersted Fr.,  Simeonova K. (red.) Cultural Aspects of the Modernisation Process, Oslo</w:t>
            </w:r>
          </w:p>
          <w:p>
            <w:pPr>
              <w:pStyle w:val="Normal"/>
              <w:widowControl w:val="false"/>
              <w:spacing w:lineRule="auto" w:line="360" w:before="0" w:after="0"/>
              <w:rPr/>
            </w:pPr>
            <w:r>
              <w:rPr>
                <w:rStyle w:val="Emphasis"/>
                <w:rFonts w:eastAsia="Times New Roman" w:cs="Corbel" w:ascii="Garuda" w:hAnsi="Garud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en-US" w:eastAsia="zh-CN" w:bidi="en-US"/>
              </w:rPr>
              <w:t xml:space="preserve">Kiossev A. (2002) The Dark Intimacy: Maps, Identities, Acts of Identification, (w:) Bjelic D. I, Savic O. (red.) Balkan as Metaphor: Between Globalization and Fragmentation, MIT Press, bmw. DOI: 10.7551/mitpress/1508.001.0001 </w:t>
            </w:r>
          </w:p>
          <w:p>
            <w:pPr>
              <w:pStyle w:val="Normal"/>
              <w:widowControl w:val="false"/>
              <w:spacing w:lineRule="auto" w:line="360" w:before="0" w:after="0"/>
              <w:rPr/>
            </w:pPr>
            <w:r>
              <w:rPr>
                <w:rStyle w:val="Emphasis"/>
                <w:rFonts w:eastAsia="Times New Roman" w:cs="Corbel" w:ascii="Garuda" w:hAnsi="Garud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en-US" w:eastAsia="zh-CN" w:bidi="en-US"/>
              </w:rPr>
              <w:t>Kleberg L. (2006) In Search of Dracula or, Cultures in Dialogue, I. Brandell (red.), State Frontiers: Borders and Boundaries in the Middle East, I. B. Tauris, London pp. 187-198</w:t>
            </w:r>
          </w:p>
          <w:p>
            <w:pPr>
              <w:pStyle w:val="Normal"/>
              <w:widowControl w:val="false"/>
              <w:spacing w:before="0" w:after="0"/>
              <w:rPr>
                <w:rFonts w:ascii="Garuda;angsananew" w:hAnsi="Garuda;angsananew" w:cs="Garuda;angsananew"/>
                <w:b w:val="false"/>
                <w:b w:val="false"/>
                <w:bCs w:val="false"/>
                <w:caps w:val="false"/>
                <w:smallCaps w:val="false"/>
                <w:sz w:val="20"/>
                <w:szCs w:val="20"/>
              </w:rPr>
            </w:pPr>
            <w:r>
              <w:rPr>
                <w:rFonts w:cs="Garuda;angsananew" w:ascii="Garuda;angsananew" w:hAnsi="Garuda;angsananew"/>
                <w:b w:val="false"/>
                <w:bCs w:val="false"/>
                <w:caps w:val="false"/>
                <w:smallCaps w:val="false"/>
                <w:sz w:val="20"/>
                <w:szCs w:val="20"/>
              </w:rPr>
              <w:t>Kubiak A. (2015) Rzeczy mniejsze. Dysformia i fiasko. Semi-peryferyjne formy kultury. Wyd. Uniwersytetu Rzeszowskiego, Rzeszów</w:t>
            </w:r>
          </w:p>
          <w:p>
            <w:pPr>
              <w:pStyle w:val="Normal"/>
              <w:widowControl w:val="false"/>
              <w:spacing w:lineRule="auto" w:line="360" w:before="0" w:after="0"/>
              <w:rPr>
                <w:rFonts w:ascii="Garuda;angsananew" w:hAnsi="Garuda;angsananew" w:cs="Garuda;angsananew"/>
                <w:b w:val="false"/>
                <w:b w:val="false"/>
                <w:bCs w:val="false"/>
                <w:caps w:val="false"/>
                <w:smallCaps w:val="false"/>
                <w:sz w:val="20"/>
                <w:szCs w:val="20"/>
              </w:rPr>
            </w:pPr>
            <w:r>
              <w:rPr>
                <w:rStyle w:val="Emphasis"/>
                <w:rFonts w:eastAsia="Times New Roman" w:cs="Garuda;angsananew" w:ascii="Garuda;angsananew" w:hAnsi="Garuda;angsananew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en-US" w:eastAsia="zh-CN" w:bidi="en-US"/>
              </w:rPr>
              <w:t>Kubiak A. (2018) Postkolonialne Polski: szkic z niepewnej natury, „Polonistyka. Innowacje” 2018/8 DOI: 10.14746/pi.2018.2.8.8</w:t>
            </w:r>
          </w:p>
          <w:p>
            <w:pPr>
              <w:pStyle w:val="Normal"/>
              <w:widowControl w:val="false"/>
              <w:spacing w:lineRule="auto" w:line="360"/>
              <w:rPr/>
            </w:pPr>
            <w:r>
              <w:rPr>
                <w:rStyle w:val="Emphasis"/>
                <w:rFonts w:cs="Garuda;angsananew" w:ascii="Garuda;angsananew" w:hAnsi="Garuda;angsananew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pl-PL" w:eastAsia="zh-CN" w:bidi="en-US"/>
              </w:rPr>
              <w:t xml:space="preserve">Kolarzowa R. (2015) </w:t>
            </w:r>
            <w:r>
              <w:rPr>
                <w:rStyle w:val="Emphasis"/>
                <w:rFonts w:cs="Garuda;angsananew" w:ascii="Garuda;angsananew" w:hAnsi="Garuda;angsananew"/>
                <w:b w:val="false"/>
                <w:b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pl-PL" w:eastAsia="zh-CN" w:bidi="en-US"/>
              </w:rPr>
              <w:t>„Zamawianie” Realnego. Konstruowanie tożsamości fantazmatycznej narodu polskiego</w:t>
            </w:r>
            <w:r>
              <w:rPr>
                <w:rStyle w:val="Emphasis"/>
                <w:rFonts w:cs="Garuda;angsananew" w:ascii="Garuda;angsananew" w:hAnsi="Garuda;angsananew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pl-PL" w:eastAsia="zh-CN" w:bidi="en-US"/>
              </w:rPr>
              <w:t>, „Teksty drugie” 1/2015, s. 84-95</w:t>
            </w:r>
          </w:p>
          <w:p>
            <w:pPr>
              <w:pStyle w:val="Normal"/>
              <w:widowControl w:val="false"/>
              <w:rPr>
                <w:rFonts w:ascii="Garuda;angsananew" w:hAnsi="Garuda;angsananew" w:cs="Garuda;angsananew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Garuda;angsananew" w:ascii="Garuda;angsananew" w:hAnsi="Garuda;angsananew"/>
                <w:b w:val="false"/>
                <w:bCs w:val="false"/>
                <w:sz w:val="20"/>
                <w:szCs w:val="20"/>
              </w:rPr>
              <w:t>Kołodziejczyk D. (2013) Gdzie jest miejsce dla Europy Środkowo-Wschodniej w przestrzeni postkolonialnej? Możliwe trajektorie podróży, „PO-RÓWNANIA”, 13, t. XIII s. 9-27</w:t>
            </w:r>
          </w:p>
          <w:p>
            <w:pPr>
              <w:pStyle w:val="Normal"/>
              <w:widowControl w:val="false"/>
              <w:spacing w:lineRule="auto" w:line="360" w:before="0" w:after="0"/>
              <w:rPr>
                <w:rFonts w:ascii="Garuda;angsananew" w:hAnsi="Garuda;angsananew" w:cs="Garuda;angsananew"/>
                <w:b w:val="false"/>
                <w:b w:val="false"/>
                <w:bCs w:val="false"/>
                <w:caps w:val="false"/>
                <w:smallCaps w:val="false"/>
                <w:sz w:val="20"/>
                <w:szCs w:val="20"/>
              </w:rPr>
            </w:pPr>
            <w:r>
              <w:rPr>
                <w:rStyle w:val="Emphasis"/>
                <w:rFonts w:eastAsia="Times New Roman" w:cs="Garuda;angsananew" w:ascii="Garuda;angsananew" w:hAnsi="Garuda;angsananew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-15"/>
                <w:sz w:val="20"/>
                <w:szCs w:val="20"/>
                <w:lang w:val="en-US" w:eastAsia="zh-CN" w:bidi="en-US"/>
              </w:rPr>
              <w:t>Kołodziejczyk D. (2017) Comparative Posts Going Political – the Postcolonial Backlash in Poland, w: Unforeseen Constellations: Reading Postcolonial Poland with South America, Polish Studies Center Indiana University, materiały konferencyjne, s. 12-22.</w:t>
            </w:r>
          </w:p>
          <w:p>
            <w:pPr>
              <w:pStyle w:val="Normal"/>
              <w:widowControl w:val="false"/>
              <w:rPr/>
            </w:pPr>
            <w:r>
              <w:rPr>
                <w:rFonts w:ascii="Garuda" w:hAnsi="Garuda"/>
                <w:b w:val="false"/>
                <w:bCs w:val="false"/>
                <w:sz w:val="20"/>
                <w:szCs w:val="20"/>
              </w:rPr>
              <w:t>Melegh A. (2006). On the East-West slope. Globalization, narration, racism and discources on Central and Eastern Europe,  CEU Press,  Budapest, New York</w:t>
            </w:r>
          </w:p>
          <w:p>
            <w:pPr>
              <w:pStyle w:val="Normal"/>
              <w:widowControl w:val="false"/>
              <w:spacing w:lineRule="auto" w:line="360" w:before="0" w:after="0"/>
              <w:rPr/>
            </w:pPr>
            <w:r>
              <w:rPr>
                <w:rStyle w:val="Emphasis"/>
                <w:rFonts w:eastAsia="Times New Roman" w:cs="Times New Roman" w:ascii="Garuda" w:hAnsi="Garuda"/>
                <w:b w:val="false"/>
                <w:bCs w:val="false"/>
                <w:i w:val="false"/>
                <w:iCs w:val="false"/>
                <w:caps w:val="false"/>
                <w:smallCaps w:val="false"/>
                <w:color w:val="231F20"/>
                <w:spacing w:val="-15"/>
                <w:sz w:val="20"/>
                <w:szCs w:val="20"/>
                <w:lang w:val="en-US" w:eastAsia="zh-CN" w:bidi="en-US"/>
              </w:rPr>
              <w:t xml:space="preserve">Moore David C, 2001, </w:t>
            </w:r>
            <w:r>
              <w:rPr>
                <w:rStyle w:val="Emphasis"/>
                <w:rFonts w:eastAsia="Times New Roman" w:cs="Times New Roman" w:ascii="Garuda" w:hAnsi="Garuda"/>
                <w:b w:val="false"/>
                <w:bCs w:val="false"/>
                <w:i/>
                <w:iCs/>
                <w:caps w:val="false"/>
                <w:smallCaps w:val="false"/>
                <w:color w:val="231F20"/>
                <w:spacing w:val="-15"/>
                <w:sz w:val="20"/>
                <w:szCs w:val="20"/>
                <w:lang w:val="en-US" w:eastAsia="zh-CN" w:bidi="en-US"/>
              </w:rPr>
              <w:t>Is the Post- in Postcolonial the Post- in Post-Soviet? Toward a Global Postcolonial Critique</w:t>
            </w:r>
            <w:r>
              <w:rPr>
                <w:rStyle w:val="Emphasis"/>
                <w:rFonts w:eastAsia="Times New Roman" w:cs="Times New Roman" w:ascii="Garuda" w:hAnsi="Garuda"/>
                <w:b w:val="false"/>
                <w:bCs w:val="false"/>
                <w:i w:val="false"/>
                <w:iCs w:val="false"/>
                <w:caps w:val="false"/>
                <w:smallCaps w:val="false"/>
                <w:color w:val="231F20"/>
                <w:spacing w:val="-15"/>
                <w:sz w:val="20"/>
                <w:szCs w:val="20"/>
                <w:lang w:val="en-US" w:eastAsia="zh-CN" w:bidi="en-US"/>
              </w:rPr>
              <w:t xml:space="preserve">, PMLA 116(1) s. 111-128 (online:) http://monumenttotransformation.org/atlas-of-transformation/html/p/postcolonial-post-soviet/is-the-post-in-postcolonial-the-post-in-post-soviet-toward-a-global-postcolonial-critique-david-chioni-moore.html </w:t>
            </w:r>
          </w:p>
          <w:p>
            <w:pPr>
              <w:pStyle w:val="Normal"/>
              <w:widowControl w:val="false"/>
              <w:rPr/>
            </w:pPr>
            <w:r>
              <w:rPr>
                <w:rFonts w:ascii="Garuda" w:hAnsi="Garuda"/>
                <w:b w:val="false"/>
                <w:bCs w:val="false"/>
                <w:sz w:val="20"/>
                <w:szCs w:val="20"/>
              </w:rPr>
              <w:t>Mycock A. (2010) British Identity and the Legacy of Empire, Open Democracy (online:) https://www.opendemocracy.net/en/opendemocracyuk/british-identity-and-legacy-of-empire/</w:t>
            </w:r>
          </w:p>
          <w:p>
            <w:pPr>
              <w:pStyle w:val="Normal"/>
              <w:widowControl w:val="false"/>
              <w:rPr/>
            </w:pPr>
            <w:r>
              <w:rPr>
                <w:rFonts w:cs="Corbel" w:ascii="Garuda" w:hAnsi="Garuda"/>
                <w:b w:val="false"/>
                <w:bCs w:val="false"/>
                <w:caps w:val="false"/>
                <w:smallCaps w:val="false"/>
                <w:sz w:val="20"/>
                <w:szCs w:val="20"/>
              </w:rPr>
              <w:t xml:space="preserve">Nyman J. (2015) British Imaginings of a European Periphery: Roger Scruton, Michael Palin and Michael Booth in/on Finland, Journal of Postcolonial Writing, 51 (2), s. 144–157. doi:10.1080/17449855.2015.1011847. </w:t>
            </w:r>
          </w:p>
          <w:p>
            <w:pPr>
              <w:pStyle w:val="Normal"/>
              <w:widowControl w:val="false"/>
              <w:spacing w:lineRule="auto" w:line="360" w:before="0" w:after="0"/>
              <w:rPr/>
            </w:pPr>
            <w:r>
              <w:rPr>
                <w:rStyle w:val="Emphasis"/>
                <w:rFonts w:eastAsia="Times New Roman" w:cs="Times New Roman" w:ascii="Garuda" w:hAnsi="Garuda"/>
                <w:b w:val="false"/>
                <w:bCs w:val="false"/>
                <w:i w:val="false"/>
                <w:iCs w:val="false"/>
                <w:caps w:val="false"/>
                <w:smallCaps w:val="false"/>
                <w:color w:val="231F20"/>
                <w:spacing w:val="-15"/>
                <w:sz w:val="20"/>
                <w:szCs w:val="20"/>
                <w:lang w:val="en-US" w:eastAsia="zh-CN" w:bidi="en-US"/>
              </w:rPr>
              <w:t>Roy S. (2007) Beyond Belief: India and the Politics of Postcolonial Nationalism. Duke University Press, DOI:10.2307/j.ctv11smv98</w:t>
            </w:r>
          </w:p>
          <w:p>
            <w:pPr>
              <w:pStyle w:val="Normal"/>
              <w:widowControl w:val="false"/>
              <w:spacing w:lineRule="auto" w:line="360" w:before="0" w:after="0"/>
              <w:rPr/>
            </w:pPr>
            <w:r>
              <w:rPr>
                <w:rStyle w:val="Emphasis"/>
                <w:rFonts w:eastAsia="Arial CE" w:cs="Arial" w:ascii="Garuda" w:hAnsi="Garuda"/>
                <w:b w:val="false"/>
                <w:bCs w:val="false"/>
                <w:i w:val="false"/>
                <w:iCs w:val="false"/>
                <w:caps w:val="false"/>
                <w:smallCaps w:val="false"/>
                <w:color w:val="231F20"/>
                <w:spacing w:val="-15"/>
                <w:sz w:val="20"/>
                <w:szCs w:val="20"/>
                <w:lang w:val="pl-PL" w:eastAsia="zh-CN" w:bidi="en-US"/>
              </w:rPr>
              <w:t xml:space="preserve">Said E.W </w:t>
            </w:r>
            <w:r>
              <w:rPr>
                <w:rStyle w:val="Emphasis"/>
                <w:rFonts w:eastAsia="Arial CE" w:cs="Arial" w:ascii="Garuda" w:hAnsi="Garuda"/>
                <w:b w:val="false"/>
                <w:bCs w:val="false"/>
                <w:i/>
                <w:iCs/>
                <w:caps w:val="false"/>
                <w:smallCaps w:val="false"/>
                <w:color w:val="231F20"/>
                <w:spacing w:val="-15"/>
                <w:sz w:val="20"/>
                <w:szCs w:val="20"/>
                <w:lang w:val="pl-PL" w:eastAsia="zh-CN" w:bidi="en-US"/>
              </w:rPr>
              <w:t>The clash of ignorance</w:t>
            </w:r>
            <w:r>
              <w:rPr>
                <w:rStyle w:val="Emphasis"/>
                <w:rFonts w:eastAsia="Arial CE" w:cs="Arial" w:ascii="Garuda" w:hAnsi="Garuda"/>
                <w:b w:val="false"/>
                <w:bCs w:val="false"/>
                <w:i w:val="false"/>
                <w:iCs w:val="false"/>
                <w:caps w:val="false"/>
                <w:smallCaps w:val="false"/>
                <w:color w:val="231F20"/>
                <w:spacing w:val="-15"/>
                <w:sz w:val="20"/>
                <w:szCs w:val="20"/>
                <w:lang w:val="pl-PL" w:eastAsia="zh-CN" w:bidi="en-US"/>
              </w:rPr>
              <w:t>, The Nation 10.22.2001 [online: https://www.thenation.com/article/clash-ignorance/ ]</w:t>
            </w:r>
          </w:p>
          <w:p>
            <w:pPr>
              <w:pStyle w:val="Normal"/>
              <w:widowControl w:val="false"/>
              <w:rPr/>
            </w:pPr>
            <w:r>
              <w:rPr>
                <w:rStyle w:val="StrongEmphasis"/>
                <w:rFonts w:cs="Corbel" w:ascii="Garuda" w:hAnsi="Garuda"/>
                <w:b w:val="false"/>
                <w:bCs w:val="false"/>
                <w:caps w:val="false"/>
                <w:smallCaps w:val="false"/>
                <w:sz w:val="20"/>
                <w:szCs w:val="20"/>
              </w:rPr>
              <w:t>Sztompka P. (1993) Civilizational Incompetence: The Trap of Post-Communist Societies, Zeitschrift für Soziologie, 22/2, s. 85-95  DOI: 10.1515/zfsoz-1993-0201</w:t>
            </w:r>
          </w:p>
          <w:p>
            <w:pPr>
              <w:pStyle w:val="Normal"/>
              <w:widowControl w:val="false"/>
              <w:spacing w:before="0" w:after="0"/>
              <w:rPr>
                <w:rFonts w:ascii="Garuda;angsananew" w:hAnsi="Garuda;angsananew" w:cs="Garuda;angsananew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Garuda;angsananew" w:ascii="Garuda;angsananew" w:hAnsi="Garuda;angsananew"/>
                <w:b w:val="false"/>
                <w:bCs w:val="false"/>
                <w:sz w:val="20"/>
                <w:szCs w:val="20"/>
              </w:rPr>
              <w:t>Snochowska-Gonzales Cl. (2013) Czy jesteśmy postkolonialni? O pewnym wrogim przejęciu, (w:) Tokarska-Bakir J. (red.) . PL: Tożsamość wyobrażona, s. 256-277, Wydawnictwo Czarna Owca, Warszawa</w:t>
            </w:r>
          </w:p>
          <w:p>
            <w:pPr>
              <w:pStyle w:val="Normal"/>
              <w:widowControl w:val="false"/>
              <w:spacing w:before="0" w:after="0"/>
              <w:rPr>
                <w:rStyle w:val="StrongEmphasis"/>
                <w:rFonts w:ascii="Garuda;angsananew" w:hAnsi="Garuda;angsananew" w:cs="Garuda;angsananew"/>
                <w:b w:val="false"/>
                <w:b w:val="false"/>
                <w:bCs w:val="false"/>
                <w:caps w:val="false"/>
                <w:smallCaps w:val="false"/>
                <w:sz w:val="20"/>
                <w:szCs w:val="20"/>
              </w:rPr>
            </w:pPr>
            <w:r>
              <w:rPr>
                <w:rFonts w:cs="Garuda;angsananew" w:ascii="Garuda;angsananew" w:hAnsi="Garuda;angsananew"/>
                <w:b w:val="false"/>
                <w:bCs w:val="false"/>
                <w:caps w:val="false"/>
                <w:smallCaps w:val="fals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rPr/>
            </w:pPr>
            <w:r>
              <w:rPr>
                <w:rStyle w:val="Cytat"/>
                <w:rFonts w:eastAsia="Times New Roman" w:cs="Times New Roman" w:ascii="Garuda" w:hAnsi="Garuda"/>
                <w:b w:val="false"/>
                <w:bCs w:val="false"/>
                <w:i w:val="false"/>
                <w:iCs w:val="false"/>
                <w:caps w:val="false"/>
                <w:smallCaps w:val="false"/>
                <w:color w:val="231F20"/>
                <w:spacing w:val="-15"/>
                <w:sz w:val="20"/>
                <w:szCs w:val="20"/>
                <w:lang w:val="en-US" w:eastAsia="zh-CN" w:bidi="en-US"/>
              </w:rPr>
              <w:t xml:space="preserve">Terlouw C.P. ,1993, </w:t>
            </w:r>
            <w:r>
              <w:rPr>
                <w:rStyle w:val="Cytat"/>
                <w:rFonts w:eastAsia="Times New Roman" w:cs="Times New Roman" w:ascii="Garuda" w:hAnsi="Garuda"/>
                <w:b w:val="false"/>
                <w:bCs w:val="false"/>
                <w:i/>
                <w:iCs/>
                <w:caps w:val="false"/>
                <w:smallCaps w:val="false"/>
                <w:color w:val="231F20"/>
                <w:spacing w:val="-15"/>
                <w:sz w:val="20"/>
                <w:szCs w:val="20"/>
                <w:lang w:val="en-US" w:eastAsia="zh-CN" w:bidi="en-US"/>
              </w:rPr>
              <w:t>The Elusive Semiperiphery: A Critical Examination of the Concept Semiperiphery</w:t>
            </w:r>
            <w:r>
              <w:rPr>
                <w:rStyle w:val="Cytat"/>
                <w:rFonts w:eastAsia="Times New Roman" w:cs="Times New Roman" w:ascii="Garuda" w:hAnsi="Garuda"/>
                <w:b w:val="false"/>
                <w:bCs w:val="false"/>
                <w:i w:val="false"/>
                <w:iCs w:val="false"/>
                <w:caps w:val="false"/>
                <w:smallCaps w:val="false"/>
                <w:color w:val="231F20"/>
                <w:spacing w:val="-15"/>
                <w:sz w:val="20"/>
                <w:szCs w:val="20"/>
                <w:lang w:val="en-US" w:eastAsia="zh-CN" w:bidi="en-US"/>
              </w:rPr>
              <w:t xml:space="preserve">, „International Journal of Comparative Sociology” Marzec, nr. 34 s. 87-102 </w:t>
            </w:r>
          </w:p>
          <w:p>
            <w:pPr>
              <w:pStyle w:val="Normal"/>
              <w:widowControl w:val="false"/>
              <w:spacing w:lineRule="auto" w:line="360"/>
              <w:rPr/>
            </w:pPr>
            <w:r>
              <w:rPr>
                <w:rStyle w:val="Cytat"/>
                <w:rFonts w:eastAsia="Times New Roman" w:cs="Times New Roman" w:ascii="Garuda" w:hAnsi="Garuda"/>
                <w:b w:val="false"/>
                <w:bCs w:val="false"/>
                <w:i w:val="false"/>
                <w:iCs w:val="false"/>
                <w:caps w:val="false"/>
                <w:smallCaps w:val="false"/>
                <w:color w:val="231F20"/>
                <w:spacing w:val="-15"/>
                <w:sz w:val="20"/>
                <w:szCs w:val="20"/>
                <w:lang w:val="en-US" w:eastAsia="zh-CN" w:bidi="en-US"/>
              </w:rPr>
              <w:t xml:space="preserve">Tlostanova Madina, 2012, </w:t>
            </w:r>
            <w:r>
              <w:rPr>
                <w:rStyle w:val="Cytat"/>
                <w:rFonts w:eastAsia="Times New Roman" w:cs="Times New Roman" w:ascii="Garuda" w:hAnsi="Garuda"/>
                <w:b w:val="false"/>
                <w:bCs w:val="false"/>
                <w:i/>
                <w:iCs/>
                <w:caps w:val="false"/>
                <w:smallCaps w:val="false"/>
                <w:color w:val="231F20"/>
                <w:spacing w:val="-15"/>
                <w:sz w:val="20"/>
                <w:szCs w:val="20"/>
                <w:lang w:val="en-US" w:eastAsia="zh-CN" w:bidi="en-US"/>
              </w:rPr>
              <w:t>Postsocialist ≠ postcolonial? On post-Soviet imaginary and global coloniality</w:t>
            </w:r>
            <w:r>
              <w:rPr>
                <w:rStyle w:val="Cytat"/>
                <w:rFonts w:eastAsia="Times New Roman" w:cs="Times New Roman" w:ascii="Garuda" w:hAnsi="Garuda"/>
                <w:b w:val="false"/>
                <w:bCs w:val="false"/>
                <w:i w:val="false"/>
                <w:iCs w:val="false"/>
                <w:caps w:val="false"/>
                <w:smallCaps w:val="false"/>
                <w:color w:val="231F20"/>
                <w:spacing w:val="-15"/>
                <w:sz w:val="20"/>
                <w:szCs w:val="20"/>
                <w:lang w:val="en-US" w:eastAsia="zh-CN" w:bidi="en-US"/>
              </w:rPr>
              <w:t>, „Journal of Postcolonial Writing”,48/2, s. 130-142</w:t>
            </w:r>
          </w:p>
          <w:p>
            <w:pPr>
              <w:pStyle w:val="Normal"/>
              <w:widowControl w:val="false"/>
              <w:spacing w:lineRule="auto" w:line="360" w:before="0" w:after="0"/>
              <w:rPr/>
            </w:pPr>
            <w:r>
              <w:rPr>
                <w:rStyle w:val="StrongEmphasis"/>
                <w:rFonts w:eastAsia="Times New Roman" w:cs="Corbel" w:ascii="Garuda" w:hAnsi="Garuda"/>
                <w:b w:val="false"/>
                <w:bCs w:val="false"/>
                <w:i w:val="false"/>
                <w:iCs w:val="false"/>
                <w:caps w:val="false"/>
                <w:smallCaps w:val="false"/>
                <w:color w:val="231F20"/>
                <w:spacing w:val="-15"/>
                <w:sz w:val="20"/>
                <w:szCs w:val="20"/>
                <w:lang w:val="en-US" w:eastAsia="zh-CN" w:bidi="en-US"/>
              </w:rPr>
              <w:t>Todorova M. (1994) The Balkans: From Discovery to Invention. Slavic Review, 53(2) s. 453-482 doi:10.2307/2501301</w:t>
            </w:r>
          </w:p>
          <w:p>
            <w:pPr>
              <w:pStyle w:val="Normal"/>
              <w:widowControl w:val="false"/>
              <w:spacing w:lineRule="auto" w:line="360" w:before="0" w:after="0"/>
              <w:rPr/>
            </w:pPr>
            <w:r>
              <w:rPr>
                <w:rStyle w:val="StrongEmphasis"/>
                <w:rFonts w:eastAsia="Times New Roman" w:cs="Garuda;angsananew" w:ascii="Garuda;angsananew" w:hAnsi="Garuda;angsananew"/>
                <w:b w:val="false"/>
                <w:bCs w:val="false"/>
                <w:i w:val="false"/>
                <w:iCs w:val="false"/>
                <w:caps w:val="false"/>
                <w:smallCaps w:val="false"/>
                <w:color w:val="231F20"/>
                <w:spacing w:val="-15"/>
                <w:sz w:val="20"/>
                <w:szCs w:val="20"/>
                <w:lang w:val="en-US" w:eastAsia="zh-CN" w:bidi="en-US"/>
              </w:rPr>
              <w:t>Zarycki T. (red.) (2013) Polska Wschodnia i orientalizm, Wyd. Naukowe Scholar, Warszawa</w:t>
            </w:r>
          </w:p>
          <w:p>
            <w:pPr>
              <w:pStyle w:val="Punktygwne"/>
              <w:widowControl w:val="false"/>
              <w:spacing w:before="0" w:after="0"/>
              <w:rPr/>
            </w:pPr>
            <w:r>
              <w:rPr/>
            </w:r>
          </w:p>
        </w:tc>
      </w:tr>
    </w:tbl>
    <w:p>
      <w:pPr>
        <w:pStyle w:val="Punktygwne"/>
        <w:spacing w:before="0" w:after="0"/>
        <w:ind w:left="360" w:hanging="0"/>
        <w:rPr>
          <w:rFonts w:ascii="Corbel" w:hAnsi="Corbel"/>
          <w:b w:val="false"/>
          <w:b w:val="false"/>
          <w:caps w:val="false"/>
          <w:smallCaps w:val="false"/>
          <w:szCs w:val="24"/>
        </w:rPr>
      </w:pPr>
      <w:r>
        <w:rPr>
          <w:rFonts w:ascii="Corbel" w:hAnsi="Corbel"/>
          <w:b w:val="false"/>
          <w:caps w:val="false"/>
          <w:smallCaps w:val="false"/>
          <w:szCs w:val="24"/>
        </w:rPr>
      </w:r>
    </w:p>
    <w:p>
      <w:pPr>
        <w:pStyle w:val="Punktygwne"/>
        <w:spacing w:before="0" w:after="0"/>
        <w:ind w:left="360" w:hanging="0"/>
        <w:rPr>
          <w:rFonts w:ascii="Corbel" w:hAnsi="Corbel"/>
          <w:b w:val="false"/>
          <w:b w:val="false"/>
          <w:caps w:val="false"/>
          <w:smallCaps w:val="false"/>
          <w:szCs w:val="24"/>
        </w:rPr>
      </w:pPr>
      <w:r>
        <w:rPr>
          <w:rFonts w:ascii="Corbel" w:hAnsi="Corbel"/>
          <w:b w:val="false"/>
          <w:caps w:val="false"/>
          <w:smallCaps w:val="false"/>
          <w:szCs w:val="24"/>
        </w:rPr>
      </w:r>
    </w:p>
    <w:p>
      <w:pPr>
        <w:pStyle w:val="Punktygwne"/>
        <w:spacing w:before="0" w:after="0"/>
        <w:ind w:left="360" w:hanging="0"/>
        <w:rPr>
          <w:rFonts w:ascii="Corbel" w:hAnsi="Corbel"/>
          <w:szCs w:val="24"/>
        </w:rPr>
      </w:pPr>
      <w:r>
        <w:rPr>
          <w:rFonts w:ascii="Corbel" w:hAnsi="Corbel"/>
          <w:b w:val="false"/>
          <w:caps w:val="false"/>
          <w:smallCaps w:val="false"/>
          <w:szCs w:val="24"/>
        </w:rPr>
        <w:t>Akceptacja Kierownika Jednostki lub osoby upoważnionej</w:t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orbel">
    <w:charset w:val="01"/>
    <w:family w:val="roman"/>
    <w:pitch w:val="variable"/>
  </w:font>
  <w:font w:name="Segoe UI Symbol">
    <w:charset w:val="01"/>
    <w:family w:val="roman"/>
    <w:pitch w:val="variable"/>
  </w:font>
  <w:font w:name="Garuda">
    <w:altName w:val="angsananew"/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"/>
        <w:widowControl w:val="false"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d66e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ytuZnak" w:customStyle="1">
    <w:name w:val="Tytuł Znak"/>
    <w:link w:val="Title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BalloonText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Header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Footer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Footnote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TekstpodstawowyZnak" w:customStyle="1">
    <w:name w:val="Tekst podstawowy Znak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Pagenumber">
    <w:name w:val="page number"/>
    <w:basedOn w:val="DefaultParagraphFont"/>
    <w:semiHidden/>
    <w:qFormat/>
    <w:rsid w:val="0085747a"/>
    <w:rPr/>
  </w:style>
  <w:style w:type="character" w:styleId="InternetLink">
    <w:name w:val="Hyperlink"/>
    <w:uiPriority w:val="99"/>
    <w:unhideWhenUsed/>
    <w:rsid w:val="00b819c8"/>
    <w:rPr>
      <w:color w:val="0000FF"/>
      <w:u w:val="single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character" w:styleId="StrongEmphasis">
    <w:name w:val="Strong Emphasis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styleId="Cytat">
    <w:name w:val="Cytat"/>
    <w:qFormat/>
    <w:rPr>
      <w:i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TekstpodstawowyZnak"/>
    <w:uiPriority w:val="99"/>
    <w:semiHidden/>
    <w:unhideWhenUsed/>
    <w:rsid w:val="0085747a"/>
    <w:pPr>
      <w:spacing w:before="0" w:after="12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bd66e9"/>
    <w:pPr>
      <w:spacing w:before="0" w:after="200"/>
      <w:ind w:left="720" w:hanging="0"/>
      <w:contextualSpacing/>
    </w:pPr>
    <w:rPr/>
  </w:style>
  <w:style w:type="paragraph" w:styleId="Title">
    <w:name w:val="Title"/>
    <w:basedOn w:val="Normal"/>
    <w:link w:val="TytuZnak"/>
    <w:qFormat/>
    <w:rsid w:val="00bd66e9"/>
    <w:pPr>
      <w:spacing w:lineRule="auto" w:line="240" w:before="0" w:after="0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f78e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c16ab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c16ab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85747a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Footnote">
    <w:name w:val="Footnote Text"/>
    <w:basedOn w:val="Normal"/>
    <w:link w:val="TekstprzypisudolnegoZnak"/>
    <w:uiPriority w:val="99"/>
    <w:semiHidden/>
    <w:unhideWhenUsed/>
    <w:rsid w:val="0085747a"/>
    <w:pPr>
      <w:spacing w:lineRule="auto" w:line="240" w:before="0" w:after="0"/>
    </w:pPr>
    <w:rPr>
      <w:sz w:val="20"/>
      <w:szCs w:val="20"/>
    </w:rPr>
  </w:style>
  <w:style w:type="paragraph" w:styleId="Punktygwne" w:customStyle="1">
    <w:name w:val="Punkty główne"/>
    <w:basedOn w:val="Normal"/>
    <w:qFormat/>
    <w:rsid w:val="0085747a"/>
    <w:pPr>
      <w:spacing w:lineRule="auto" w:line="240" w:before="240" w:after="60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xtBody"/>
    <w:qFormat/>
    <w:rsid w:val="0085747a"/>
    <w:pPr>
      <w:tabs>
        <w:tab w:val="clear" w:pos="708"/>
        <w:tab w:val="left" w:pos="-5643" w:leader="none"/>
      </w:tabs>
      <w:overflowPunct w:val="false"/>
      <w:spacing w:lineRule="auto" w:line="240" w:before="40" w:after="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"/>
    <w:qFormat/>
    <w:rsid w:val="0085747a"/>
    <w:pPr>
      <w:spacing w:lineRule="auto" w:line="240" w:before="40" w:after="40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xtBody"/>
    <w:qFormat/>
    <w:rsid w:val="0085747a"/>
    <w:pPr>
      <w:tabs>
        <w:tab w:val="clear" w:pos="708"/>
        <w:tab w:val="left" w:pos="-5814" w:leader="none"/>
      </w:tabs>
      <w:overflowPunct w:val="false"/>
      <w:spacing w:lineRule="auto" w:line="240" w:before="0" w:after="0"/>
      <w:ind w:left="360" w:hanging="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xtBody"/>
    <w:qFormat/>
    <w:rsid w:val="0085747a"/>
    <w:pPr>
      <w:tabs>
        <w:tab w:val="clear" w:pos="708"/>
        <w:tab w:val="left" w:pos="-5814" w:leader="none"/>
        <w:tab w:val="left" w:pos="720" w:leader="none"/>
      </w:tabs>
      <w:overflowPunct w:val="false"/>
      <w:spacing w:lineRule="auto" w:line="240" w:before="120" w:after="0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xtBody"/>
    <w:uiPriority w:val="99"/>
    <w:qFormat/>
    <w:rsid w:val="0085747a"/>
    <w:pPr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"/>
    <w:qFormat/>
    <w:rsid w:val="0085747a"/>
    <w:pPr>
      <w:tabs>
        <w:tab w:val="clear" w:pos="708"/>
        <w:tab w:val="left" w:pos="-5814" w:leader="none"/>
      </w:tabs>
      <w:overflowPunct w:val="false"/>
      <w:spacing w:lineRule="auto" w:line="240" w:before="40" w:after="40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oSpacing">
    <w:name w:val="No Spacing"/>
    <w:uiPriority w:val="1"/>
    <w:qFormat/>
    <w:rsid w:val="00c61dc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numbering" w:styleId="WW8Num2">
    <w:name w:val="WW8Num2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Application>LibreOffice/7.3.7.2$Linux_X86_64 LibreOffice_project/30$Build-2</Application>
  <AppVersion>15.0000</AppVersion>
  <Pages>8</Pages>
  <Words>1442</Words>
  <Characters>10106</Characters>
  <CharactersWithSpaces>11570</CharactersWithSpaces>
  <Paragraphs>167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2023-10-02T12:20:00Z</dcterms:created>
  <dc:creator>User</dc:creator>
  <dc:description/>
  <dc:language>en-US</dc:language>
  <cp:lastModifiedBy/>
  <cp:lastPrinted>2019-02-06T12:12:00Z</cp:lastPrinted>
  <dcterms:modified xsi:type="dcterms:W3CDTF">2025-09-18T18:04:18Z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