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Joanna Naróg</w:t>
      </w:r>
    </w:p>
    <w:p>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II rok FiR</w:t>
      </w:r>
    </w:p>
    <w:p>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Studia stacjonarne</w:t>
      </w:r>
    </w:p>
    <w:p>
      <w:pPr>
        <w:spacing w:after="0" w:line="240" w:lineRule="auto"/>
        <w:rPr>
          <w:rFonts w:ascii="Times New Roman" w:hAnsi="Times New Roman" w:cs="Times New Roman"/>
          <w:shd w:val="clear" w:color="auto" w:fill="FFFFFF"/>
          <w:lang w:val="de-AT"/>
        </w:rPr>
      </w:pPr>
      <w:r>
        <w:rPr>
          <w:rFonts w:ascii="Times New Roman" w:hAnsi="Times New Roman" w:cs="Times New Roman"/>
          <w:shd w:val="clear" w:color="auto" w:fill="FFFFFF"/>
          <w:lang w:val="de-AT"/>
        </w:rPr>
        <w:t>Semestr letni 2023/2024</w:t>
      </w:r>
    </w:p>
    <w:p>
      <w:pPr>
        <w:spacing w:line="240" w:lineRule="auto"/>
        <w:ind w:left="426"/>
        <w:rPr>
          <w:rFonts w:ascii="Times New Roman" w:hAnsi="Times New Roman" w:cs="Times New Roman"/>
          <w:shd w:val="clear" w:color="auto" w:fill="FFFFFF"/>
          <w:lang w:val="de-AT"/>
        </w:rPr>
      </w:pPr>
    </w:p>
    <w:p>
      <w:pPr>
        <w:spacing w:line="360" w:lineRule="auto"/>
        <w:rPr>
          <w:rFonts w:ascii="Times New Roman" w:hAnsi="Times New Roman" w:eastAsia="Calibri" w:cs="Times New Roman"/>
          <w:lang w:val="de-AT"/>
        </w:rPr>
      </w:pPr>
      <w:r>
        <w:rPr>
          <w:rFonts w:ascii="Times New Roman" w:hAnsi="Times New Roman" w:cs="Times New Roman"/>
          <w:shd w:val="clear" w:color="auto" w:fill="FFFFFF"/>
          <w:lang w:val="de-DE"/>
        </w:rPr>
        <w:t>Meine Damen und Herren ich begrüße Sie herzlich zu meiner Präsentation.</w:t>
      </w:r>
      <w:r>
        <w:rPr>
          <w:rFonts w:ascii="Times New Roman" w:hAnsi="Times New Roman" w:eastAsia="Calibri" w:cs="Times New Roman"/>
          <w:lang w:val="de-DE"/>
        </w:rPr>
        <w:t xml:space="preserve"> </w:t>
      </w:r>
      <w:r>
        <w:rPr>
          <w:rFonts w:ascii="Times New Roman" w:hAnsi="Times New Roman" w:eastAsia="Calibri" w:cs="Times New Roman"/>
          <w:lang w:val="de-AT"/>
        </w:rPr>
        <w:t xml:space="preserve">Mein Name ist Joanna Naróg. </w:t>
      </w:r>
      <w:r>
        <w:rPr>
          <w:rFonts w:ascii="Times New Roman" w:hAnsi="Times New Roman" w:cs="Times New Roman"/>
          <w:shd w:val="clear" w:color="auto" w:fill="FFFFFF"/>
          <w:lang w:val="de-DE"/>
        </w:rPr>
        <w:t xml:space="preserve">Ich möchte heute folgendes Thema präsentieren: Die </w:t>
      </w:r>
      <w:r>
        <w:rPr>
          <w:rFonts w:hint="default" w:ascii="Times New Roman" w:hAnsi="Times New Roman" w:cs="Times New Roman"/>
          <w:shd w:val="clear" w:color="auto" w:fill="FFFFFF"/>
          <w:lang w:val="pl-PL"/>
        </w:rPr>
        <w:t>P</w:t>
      </w:r>
      <w:r>
        <w:rPr>
          <w:rFonts w:ascii="Times New Roman" w:hAnsi="Times New Roman" w:cs="Times New Roman"/>
          <w:shd w:val="clear" w:color="auto" w:fill="FFFFFF"/>
          <w:lang w:val="de-DE"/>
        </w:rPr>
        <w:t xml:space="preserve">olnische Nationalbank. </w:t>
      </w:r>
    </w:p>
    <w:p>
      <w:pPr>
        <w:spacing w:line="360" w:lineRule="auto"/>
        <w:rPr>
          <w:rFonts w:ascii="Times New Roman" w:hAnsi="Times New Roman" w:cs="Times New Roman"/>
          <w:lang w:val="de-DE"/>
        </w:rPr>
      </w:pPr>
      <w:r>
        <w:rPr>
          <w:rFonts w:ascii="Times New Roman" w:hAnsi="Times New Roman" w:cs="Times New Roman"/>
          <w:lang w:val="de-DE"/>
        </w:rPr>
        <w:t xml:space="preserve">Der Plan für meine Präsentation sieht Folgendes vor: </w:t>
      </w:r>
      <w:r>
        <w:rPr>
          <w:rFonts w:ascii="Times New Roman" w:hAnsi="Times New Roman" w:cs="Times New Roman"/>
          <w:lang w:val="de-AT"/>
        </w:rPr>
        <w:t xml:space="preserve">Was ist die polnische Zentralbank?, Funktionen, Aufgaben der NBP, Geldpolitische Instrumente , Zentralbankbehörden, Regionalniederlassungen, Die Hauptgeschäftsbereiche der NBP, Quiz, Wortschatz und Quellen. </w:t>
      </w:r>
    </w:p>
    <w:p>
      <w:pPr>
        <w:pStyle w:val="29"/>
        <w:spacing w:line="360" w:lineRule="auto"/>
        <w:ind w:left="0"/>
        <w:rPr>
          <w:rFonts w:ascii="Times New Roman" w:hAnsi="Times New Roman" w:cs="Times New Roman"/>
          <w:b/>
          <w:bCs/>
          <w:lang w:val="de-AT"/>
        </w:rPr>
      </w:pPr>
      <w:r>
        <w:rPr>
          <w:rFonts w:ascii="Times New Roman" w:hAnsi="Times New Roman" w:cs="Times New Roman"/>
          <w:b/>
          <w:bCs/>
          <w:lang w:val="de-AT"/>
        </w:rPr>
        <w:t xml:space="preserve">Was ist die </w:t>
      </w:r>
      <w:r>
        <w:rPr>
          <w:rFonts w:hint="default" w:ascii="Times New Roman" w:hAnsi="Times New Roman" w:cs="Times New Roman"/>
          <w:b/>
          <w:bCs/>
          <w:lang w:val="pl-PL"/>
        </w:rPr>
        <w:t>P</w:t>
      </w:r>
      <w:r>
        <w:rPr>
          <w:rFonts w:ascii="Times New Roman" w:hAnsi="Times New Roman" w:cs="Times New Roman"/>
          <w:b/>
          <w:bCs/>
          <w:lang w:val="de-AT"/>
        </w:rPr>
        <w:t>olnische Zentralbank?</w:t>
      </w:r>
    </w:p>
    <w:p>
      <w:pPr>
        <w:pStyle w:val="13"/>
        <w:shd w:val="clear" w:color="auto" w:fill="FFFFFF"/>
        <w:spacing w:before="0" w:beforeAutospacing="0" w:line="360" w:lineRule="auto"/>
        <w:jc w:val="both"/>
        <w:rPr>
          <w:sz w:val="22"/>
          <w:szCs w:val="22"/>
          <w:lang w:val="de-AT"/>
        </w:rPr>
      </w:pPr>
      <w:r>
        <w:rPr>
          <w:sz w:val="22"/>
          <w:szCs w:val="22"/>
          <w:lang w:val="de-AT"/>
        </w:rPr>
        <w:t>Die Polnische Nationalbank mit Sitz in Warschau ist die Zentralbank der Republik Polen. Die NBP ist die Hauptinstitution, die für die Wirtschaftsliquidität, die Geldemission und den Währungskurs verantwortlich ist.  Die Bank sorgt für die Wirtschaftsentwicklung Polens.</w:t>
      </w:r>
    </w:p>
    <w:p>
      <w:pPr>
        <w:pStyle w:val="13"/>
        <w:shd w:val="clear" w:color="auto" w:fill="FFFFFF"/>
        <w:spacing w:before="0" w:beforeAutospacing="0" w:line="360" w:lineRule="auto"/>
        <w:jc w:val="both"/>
        <w:rPr>
          <w:sz w:val="22"/>
          <w:szCs w:val="22"/>
          <w:lang w:val="de-AT"/>
        </w:rPr>
      </w:pPr>
      <w:r>
        <w:rPr>
          <w:b/>
          <w:bCs/>
          <w:spacing w:val="5"/>
          <w:sz w:val="22"/>
          <w:szCs w:val="22"/>
          <w:lang w:val="de-AT"/>
        </w:rPr>
        <w:t xml:space="preserve">Die Funktionen der </w:t>
      </w:r>
      <w:r>
        <w:rPr>
          <w:rFonts w:hint="default"/>
          <w:b/>
          <w:bCs/>
          <w:spacing w:val="5"/>
          <w:sz w:val="22"/>
          <w:szCs w:val="22"/>
          <w:lang w:val="pl-PL"/>
        </w:rPr>
        <w:t>P</w:t>
      </w:r>
      <w:r>
        <w:rPr>
          <w:b/>
          <w:bCs/>
          <w:spacing w:val="5"/>
          <w:sz w:val="22"/>
          <w:szCs w:val="22"/>
          <w:lang w:val="de-AT"/>
        </w:rPr>
        <w:t>olnischen Zentralbank sind:</w:t>
      </w:r>
    </w:p>
    <w:p>
      <w:pPr>
        <w:numPr>
          <w:ilvl w:val="0"/>
          <w:numId w:val="1"/>
        </w:numPr>
        <w:shd w:val="clear" w:color="auto" w:fill="FFFFFF"/>
        <w:spacing w:before="100" w:beforeAutospacing="1" w:after="100" w:afterAutospacing="1" w:line="360" w:lineRule="auto"/>
        <w:ind w:left="0"/>
        <w:jc w:val="both"/>
        <w:rPr>
          <w:rFonts w:ascii="Times New Roman" w:hAnsi="Times New Roman" w:eastAsia="Times New Roman" w:cs="Times New Roman"/>
          <w:spacing w:val="5"/>
          <w:kern w:val="0"/>
          <w:lang w:val="de-AT" w:eastAsia="pl-PL"/>
          <w14:ligatures w14:val="none"/>
        </w:rPr>
      </w:pPr>
      <w:r>
        <w:rPr>
          <w:rFonts w:ascii="Times New Roman" w:hAnsi="Times New Roman" w:eastAsia="Times New Roman" w:cs="Times New Roman"/>
          <w:spacing w:val="5"/>
          <w:kern w:val="0"/>
          <w:lang w:val="de-AT" w:eastAsia="pl-PL"/>
          <w14:ligatures w14:val="none"/>
        </w:rPr>
        <w:t>die NBP ist eine ausgebende Bank: sie besitzt das alleinige Recht, Geld herauszugeben;</w:t>
      </w:r>
    </w:p>
    <w:p>
      <w:pPr>
        <w:numPr>
          <w:ilvl w:val="0"/>
          <w:numId w:val="1"/>
        </w:numPr>
        <w:shd w:val="clear" w:color="auto" w:fill="FFFFFF"/>
        <w:spacing w:before="100" w:beforeAutospacing="1" w:after="100" w:afterAutospacing="1" w:line="360" w:lineRule="auto"/>
        <w:ind w:left="0"/>
        <w:jc w:val="both"/>
        <w:rPr>
          <w:rFonts w:ascii="Times New Roman" w:hAnsi="Times New Roman" w:eastAsia="Times New Roman" w:cs="Times New Roman"/>
          <w:spacing w:val="5"/>
          <w:kern w:val="0"/>
          <w:lang w:val="de-AT" w:eastAsia="pl-PL"/>
          <w14:ligatures w14:val="none"/>
        </w:rPr>
      </w:pPr>
      <w:r>
        <w:rPr>
          <w:rFonts w:ascii="Times New Roman" w:hAnsi="Times New Roman" w:eastAsia="Times New Roman" w:cs="Times New Roman"/>
          <w:spacing w:val="5"/>
          <w:kern w:val="0"/>
          <w:lang w:val="de-AT" w:eastAsia="pl-PL"/>
          <w14:ligatures w14:val="none"/>
        </w:rPr>
        <w:t>die NBP ist die Bank der Banken: die Bank ist für die Stabilität und Sicherheit des polnischen Bankensystems verantwortlich;</w:t>
      </w:r>
    </w:p>
    <w:p>
      <w:pPr>
        <w:numPr>
          <w:ilvl w:val="0"/>
          <w:numId w:val="1"/>
        </w:numPr>
        <w:shd w:val="clear" w:color="auto" w:fill="FFFFFF"/>
        <w:spacing w:before="100" w:beforeAutospacing="1" w:after="0" w:line="360" w:lineRule="auto"/>
        <w:ind w:left="0"/>
        <w:jc w:val="both"/>
        <w:rPr>
          <w:rFonts w:ascii="Times New Roman" w:hAnsi="Times New Roman" w:eastAsia="Times New Roman" w:cs="Times New Roman"/>
          <w:spacing w:val="5"/>
          <w:kern w:val="0"/>
          <w:lang w:val="de-AT" w:eastAsia="pl-PL"/>
          <w14:ligatures w14:val="none"/>
        </w:rPr>
      </w:pPr>
      <w:r>
        <w:rPr>
          <w:rFonts w:ascii="Times New Roman" w:hAnsi="Times New Roman" w:eastAsia="Times New Roman" w:cs="Times New Roman"/>
          <w:spacing w:val="5"/>
          <w:kern w:val="0"/>
          <w:lang w:val="de-AT" w:eastAsia="pl-PL"/>
          <w14:ligatures w14:val="none"/>
        </w:rPr>
        <w:t>die NBP ist die Zentralbank für den Staat: führt für den polnischen Staat Bankdienstleistungen aus.</w:t>
      </w:r>
    </w:p>
    <w:p>
      <w:pPr>
        <w:shd w:val="clear" w:color="auto" w:fill="FFFFFF"/>
        <w:spacing w:before="100" w:beforeAutospacing="1" w:after="0" w:line="360" w:lineRule="auto"/>
        <w:jc w:val="both"/>
        <w:rPr>
          <w:rFonts w:ascii="Times New Roman" w:hAnsi="Times New Roman" w:eastAsia="Times New Roman" w:cs="Times New Roman"/>
          <w:spacing w:val="5"/>
          <w:kern w:val="0"/>
          <w:lang w:val="de-AT" w:eastAsia="pl-PL"/>
          <w14:ligatures w14:val="none"/>
        </w:rPr>
      </w:pPr>
    </w:p>
    <w:p>
      <w:pPr>
        <w:pStyle w:val="13"/>
        <w:shd w:val="clear" w:color="auto" w:fill="FFFFFF"/>
        <w:spacing w:before="0" w:beforeAutospacing="0" w:line="360" w:lineRule="auto"/>
        <w:jc w:val="both"/>
        <w:rPr>
          <w:b/>
          <w:bCs/>
          <w:sz w:val="22"/>
          <w:szCs w:val="22"/>
          <w:lang w:val="de-AT"/>
        </w:rPr>
      </w:pPr>
      <w:r>
        <w:rPr>
          <w:b/>
          <w:bCs/>
          <w:spacing w:val="5"/>
          <w:sz w:val="22"/>
          <w:szCs w:val="22"/>
          <w:lang w:val="de-AT"/>
        </w:rPr>
        <w:t xml:space="preserve">Die Aufgaben der </w:t>
      </w:r>
      <w:r>
        <w:rPr>
          <w:rFonts w:hint="default"/>
          <w:b/>
          <w:bCs/>
          <w:spacing w:val="5"/>
          <w:sz w:val="22"/>
          <w:szCs w:val="22"/>
          <w:lang w:val="pl-PL"/>
        </w:rPr>
        <w:t>P</w:t>
      </w:r>
      <w:bookmarkStart w:id="0" w:name="_GoBack"/>
      <w:bookmarkEnd w:id="0"/>
      <w:r>
        <w:rPr>
          <w:b/>
          <w:bCs/>
          <w:spacing w:val="5"/>
          <w:sz w:val="22"/>
          <w:szCs w:val="22"/>
          <w:lang w:val="de-AT"/>
        </w:rPr>
        <w:t>olnischen Zentralbank sind:</w:t>
      </w:r>
    </w:p>
    <w:p>
      <w:pPr>
        <w:pStyle w:val="13"/>
        <w:shd w:val="clear" w:color="auto" w:fill="FFFFFF"/>
        <w:spacing w:before="0" w:beforeAutospacing="0" w:line="360" w:lineRule="auto"/>
        <w:jc w:val="both"/>
        <w:rPr>
          <w:b/>
          <w:bCs/>
          <w:sz w:val="22"/>
          <w:szCs w:val="22"/>
          <w:lang w:val="de-AT"/>
        </w:rPr>
      </w:pPr>
      <w:r>
        <w:rPr>
          <w:sz w:val="22"/>
          <w:szCs w:val="22"/>
          <w:lang w:val="de-AT"/>
        </w:rPr>
        <w:t>Die Polnische Nationalbank trifft Maßnahmen zur Geldstabilisierung und zur Stabilisierung des Finanzsystems. Das bezweckt die Schaffung von Grundlagen für eine dauerhafte wirtschaftliche Entwicklung. Das Hauptziel der Tätigkeit der NBP ist die Gewährleistung eines stabilen Preisniveaus in Polen. /Die NBP beteiligt sich an der Führung der Bankenaufsicht, trifft Maßnahmen zugunsten des Zahlungssystems und wirbt für die Entwicklung einer sicheren Infrastruktur des Finanzmarktes. Zu diesem Zweck stehen der Bank zahlreiche Maßnahmen zur Verfügung, so u. a.: die Analyse der Finanzmarkt- und der Wirtschaftssituation sowie eine enge Zusammenarbeit zwischen den Institutionen, welche die übrigen Segmente des Finanzmarktes überwachen.</w:t>
      </w:r>
    </w:p>
    <w:p>
      <w:pPr>
        <w:shd w:val="clear" w:color="auto" w:fill="FFFFFF"/>
        <w:spacing w:before="100" w:beforeAutospacing="1" w:after="0" w:line="360" w:lineRule="auto"/>
        <w:jc w:val="both"/>
        <w:rPr>
          <w:rFonts w:ascii="Times New Roman" w:hAnsi="Times New Roman" w:eastAsia="Times New Roman" w:cs="Times New Roman"/>
          <w:color w:val="021A25"/>
          <w:spacing w:val="5"/>
          <w:kern w:val="0"/>
          <w:lang w:val="de-AT" w:eastAsia="pl-PL"/>
          <w14:ligatures w14:val="none"/>
        </w:rPr>
      </w:pPr>
      <w:r>
        <w:rPr>
          <w:rFonts w:ascii="Times New Roman" w:hAnsi="Times New Roman" w:eastAsia="Times New Roman" w:cs="Times New Roman"/>
          <w:color w:val="021A25"/>
          <w:spacing w:val="5"/>
          <w:kern w:val="0"/>
          <w:lang w:val="de-AT" w:eastAsia="pl-PL"/>
          <w14:ligatures w14:val="none"/>
        </w:rPr>
        <w:t>Die Aufrechterhaltung eines stabilen Preisniveaus ist das grundlegende Instrument der Geldpolitik. Das Inflationsziel beträgt 2,5 % (zweieinhalb Prozent) mit der Möglichkeit einer Abweichung von bis zu einem Prozentpunkt nach oben oder unten.</w:t>
      </w:r>
    </w:p>
    <w:p>
      <w:pPr>
        <w:spacing w:line="360" w:lineRule="auto"/>
        <w:rPr>
          <w:rFonts w:ascii="Times New Roman" w:hAnsi="Times New Roman" w:cs="Times New Roman"/>
          <w:b/>
          <w:bCs/>
          <w:lang w:val="de-AT"/>
        </w:rPr>
      </w:pPr>
      <w:r>
        <w:rPr>
          <w:rFonts w:ascii="Times New Roman" w:hAnsi="Times New Roman" w:cs="Times New Roman"/>
          <w:b/>
          <w:bCs/>
          <w:lang w:val="de-AT"/>
        </w:rPr>
        <w:t>Geldpolitische Instrumente:</w:t>
      </w:r>
    </w:p>
    <w:p>
      <w:pPr>
        <w:spacing w:line="360" w:lineRule="auto"/>
        <w:rPr>
          <w:rFonts w:ascii="Times New Roman" w:hAnsi="Times New Roman" w:cs="Times New Roman"/>
          <w:lang w:val="de-AT"/>
        </w:rPr>
      </w:pPr>
      <w:r>
        <w:rPr>
          <w:rFonts w:ascii="Times New Roman" w:hAnsi="Times New Roman" w:cs="Times New Roman"/>
          <w:lang w:val="de-AT"/>
        </w:rPr>
        <w:t>•Erforderlicher Reservesatz - Das ist die Menge an Gelder  die Kreditinstitute bei der Zentralbank halten müssen.</w:t>
      </w:r>
    </w:p>
    <w:p>
      <w:pPr>
        <w:spacing w:line="360" w:lineRule="auto"/>
        <w:rPr>
          <w:rFonts w:ascii="Times New Roman" w:hAnsi="Times New Roman" w:cs="Times New Roman"/>
          <w:lang w:val="de-AT"/>
        </w:rPr>
      </w:pPr>
      <w:r>
        <w:rPr>
          <w:rFonts w:ascii="Times New Roman" w:hAnsi="Times New Roman" w:cs="Times New Roman"/>
          <w:lang w:val="de-AT"/>
        </w:rPr>
        <w:t xml:space="preserve">•Offenmarktgeschäfte - die Offenmarktpolitik ist ein Instrument der Geldpolitik, durch das die Zentralbank die Geschäftsbanken mit Liquidität versorgt. </w:t>
      </w:r>
    </w:p>
    <w:p>
      <w:pPr>
        <w:spacing w:line="360" w:lineRule="auto"/>
        <w:rPr>
          <w:rFonts w:ascii="Times New Roman" w:hAnsi="Times New Roman" w:cs="Times New Roman"/>
          <w:lang w:val="de-AT"/>
        </w:rPr>
      </w:pPr>
      <w:r>
        <w:rPr>
          <w:rFonts w:ascii="Times New Roman" w:hAnsi="Times New Roman" w:cs="Times New Roman"/>
          <w:lang w:val="de-AT"/>
        </w:rPr>
        <w:t xml:space="preserve">•Einlagen- und Kreditgeschäfte – Die Nationalbank bietet kommerziellen Banken die Möglichkeit, eine Tageseinlage bei der Zentralbank zu tätigen. Diese Einlagen werden zu einem Einlagenzinssatz verzinst. Die Einlagen ermöglichen es den kommerziellen Banken, ihre überschüssigen liquiden Mittel zu nutzen. </w:t>
      </w:r>
    </w:p>
    <w:p>
      <w:pPr>
        <w:spacing w:line="360" w:lineRule="auto"/>
        <w:rPr>
          <w:rFonts w:ascii="Times New Roman" w:hAnsi="Times New Roman" w:cs="Times New Roman"/>
          <w:lang w:val="de-AT"/>
        </w:rPr>
      </w:pPr>
      <w:r>
        <w:rPr>
          <w:rFonts w:ascii="Times New Roman" w:hAnsi="Times New Roman" w:cs="Times New Roman"/>
          <w:b/>
        </w:rPr>
        <w:t>Zentralbankbehörden</w:t>
      </w:r>
    </w:p>
    <w:p>
      <w:pPr>
        <w:numPr>
          <w:ilvl w:val="0"/>
          <w:numId w:val="2"/>
        </w:numPr>
        <w:shd w:val="clear" w:color="auto" w:fill="FFFFFF"/>
        <w:tabs>
          <w:tab w:val="clear" w:pos="720"/>
        </w:tabs>
        <w:spacing w:before="100" w:beforeAutospacing="1" w:after="100" w:afterAutospacing="1" w:line="360" w:lineRule="auto"/>
        <w:ind w:left="0" w:hanging="284"/>
        <w:jc w:val="both"/>
        <w:rPr>
          <w:rFonts w:ascii="Times New Roman" w:hAnsi="Times New Roman" w:eastAsia="Times New Roman" w:cs="Times New Roman"/>
          <w:color w:val="333333"/>
          <w:lang w:val="de-DE" w:eastAsia="pl-PL"/>
        </w:rPr>
      </w:pPr>
      <w:r>
        <w:rPr>
          <w:rFonts w:ascii="Times New Roman" w:hAnsi="Times New Roman" w:eastAsia="Times New Roman" w:cs="Times New Roman"/>
          <w:b/>
          <w:bCs/>
          <w:color w:val="333333"/>
          <w:lang w:val="de-DE" w:eastAsia="pl-PL"/>
        </w:rPr>
        <w:t>Der Präsident der NBP</w:t>
      </w:r>
      <w:r>
        <w:rPr>
          <w:rFonts w:ascii="Times New Roman" w:hAnsi="Times New Roman" w:eastAsia="Times New Roman" w:cs="Times New Roman"/>
          <w:color w:val="333333"/>
          <w:lang w:val="de-DE" w:eastAsia="pl-PL"/>
        </w:rPr>
        <w:t xml:space="preserve"> wurde vom Sejm auf Ersuchen des Präsidenten der Republik Polen für die Amtszeit von 6 Jahren  ernannt. </w:t>
      </w:r>
    </w:p>
    <w:p>
      <w:pPr>
        <w:numPr>
          <w:ilvl w:val="0"/>
          <w:numId w:val="2"/>
        </w:numPr>
        <w:shd w:val="clear" w:color="auto" w:fill="FFFFFF"/>
        <w:tabs>
          <w:tab w:val="clear" w:pos="720"/>
        </w:tabs>
        <w:spacing w:before="100" w:beforeAutospacing="1" w:after="100" w:afterAutospacing="1" w:line="360" w:lineRule="auto"/>
        <w:ind w:left="0" w:hanging="284"/>
        <w:jc w:val="both"/>
        <w:rPr>
          <w:rFonts w:ascii="Times New Roman" w:hAnsi="Times New Roman" w:eastAsia="Times New Roman" w:cs="Times New Roman"/>
          <w:color w:val="333333"/>
          <w:lang w:val="de-DE" w:eastAsia="pl-PL"/>
        </w:rPr>
      </w:pPr>
      <w:r>
        <w:rPr>
          <w:rFonts w:ascii="Times New Roman" w:hAnsi="Times New Roman" w:eastAsia="Times New Roman" w:cs="Times New Roman"/>
          <w:b/>
          <w:bCs/>
          <w:color w:val="333333"/>
          <w:lang w:val="de-DE" w:eastAsia="pl-PL"/>
        </w:rPr>
        <w:t>Der Rat für Währungspolitik</w:t>
      </w:r>
      <w:r>
        <w:rPr>
          <w:rFonts w:ascii="Times New Roman" w:hAnsi="Times New Roman" w:eastAsia="Times New Roman" w:cs="Times New Roman"/>
          <w:color w:val="333333"/>
          <w:lang w:val="de-DE" w:eastAsia="pl-PL"/>
        </w:rPr>
        <w:t xml:space="preserve"> bewertet die Aktivitäten des NBP-Verwaltungsrats bei der Umsetzung der geldpolitischen Annahmen.</w:t>
      </w:r>
    </w:p>
    <w:p>
      <w:pPr>
        <w:numPr>
          <w:ilvl w:val="0"/>
          <w:numId w:val="2"/>
        </w:numPr>
        <w:shd w:val="clear" w:color="auto" w:fill="FFFFFF"/>
        <w:tabs>
          <w:tab w:val="clear" w:pos="720"/>
        </w:tabs>
        <w:spacing w:before="100" w:beforeAutospacing="1" w:after="100" w:afterAutospacing="1" w:line="360" w:lineRule="auto"/>
        <w:ind w:left="0" w:hanging="284"/>
        <w:jc w:val="both"/>
        <w:rPr>
          <w:rFonts w:ascii="Times New Roman" w:hAnsi="Times New Roman" w:cs="Times New Roman"/>
          <w:lang w:val="de-DE"/>
        </w:rPr>
      </w:pPr>
      <w:r>
        <w:rPr>
          <w:rFonts w:ascii="Times New Roman" w:hAnsi="Times New Roman" w:eastAsia="Times New Roman" w:cs="Times New Roman"/>
          <w:color w:val="333333"/>
          <w:lang w:val="de-DE" w:eastAsia="pl-PL"/>
        </w:rPr>
        <w:t xml:space="preserve">Die Aktivitäten der Polnischen Nationalbank werden vom </w:t>
      </w:r>
      <w:r>
        <w:rPr>
          <w:rFonts w:ascii="Times New Roman" w:hAnsi="Times New Roman" w:eastAsia="Times New Roman" w:cs="Times New Roman"/>
          <w:b/>
          <w:bCs/>
          <w:color w:val="333333"/>
          <w:lang w:val="de-DE" w:eastAsia="pl-PL"/>
        </w:rPr>
        <w:t>Verwaltungsrat</w:t>
      </w:r>
      <w:r>
        <w:rPr>
          <w:rFonts w:ascii="Times New Roman" w:hAnsi="Times New Roman" w:eastAsia="Times New Roman" w:cs="Times New Roman"/>
          <w:color w:val="333333"/>
          <w:lang w:val="de-DE" w:eastAsia="pl-PL"/>
        </w:rPr>
        <w:t xml:space="preserve"> verwaltet. Es besteht aus: dem Präsidenten der NBP und von 6 an die 8-Vorstandsmitglieder, darunter zwei Vizepräsidenten der Nationalbank von Polen. </w:t>
      </w:r>
    </w:p>
    <w:p>
      <w:pPr>
        <w:spacing w:line="360" w:lineRule="auto"/>
        <w:rPr>
          <w:rFonts w:ascii="Times New Roman" w:hAnsi="Times New Roman" w:cs="Times New Roman"/>
          <w:b/>
          <w:bCs/>
          <w:lang w:val="de-AT"/>
        </w:rPr>
      </w:pPr>
      <w:r>
        <w:rPr>
          <w:rFonts w:ascii="Times New Roman" w:hAnsi="Times New Roman" w:cs="Times New Roman"/>
          <w:b/>
          <w:bCs/>
          <w:lang w:val="de-AT"/>
        </w:rPr>
        <w:t>Regionalniederlassungen</w:t>
      </w:r>
    </w:p>
    <w:p>
      <w:pPr>
        <w:pStyle w:val="13"/>
        <w:shd w:val="clear" w:color="auto" w:fill="FFFFFF"/>
        <w:spacing w:before="120" w:beforeAutospacing="0" w:after="120" w:afterAutospacing="0" w:line="360" w:lineRule="auto"/>
        <w:rPr>
          <w:color w:val="202122"/>
          <w:sz w:val="22"/>
          <w:szCs w:val="22"/>
          <w:lang w:val="de-DE"/>
        </w:rPr>
      </w:pPr>
      <w:r>
        <w:rPr>
          <w:color w:val="202122"/>
          <w:sz w:val="22"/>
          <w:szCs w:val="22"/>
          <w:lang w:val="de-DE"/>
        </w:rPr>
        <w:t xml:space="preserve">Für die Wahrnehmung ihrer Aufgaben wie etwa der Sicherstellung der Geldversorgung in den Woiwodschaften hat die Zentralbank mehrere Niederlassungen außerhalb Warschaus. </w:t>
      </w:r>
    </w:p>
    <w:p>
      <w:pPr>
        <w:pStyle w:val="13"/>
        <w:shd w:val="clear" w:color="auto" w:fill="FFFFFF"/>
        <w:spacing w:before="120" w:beforeAutospacing="0" w:after="120" w:afterAutospacing="0" w:line="360" w:lineRule="auto"/>
        <w:rPr>
          <w:b/>
          <w:bCs/>
          <w:color w:val="202122"/>
          <w:sz w:val="22"/>
          <w:szCs w:val="22"/>
          <w:lang w:val="de-AT"/>
        </w:rPr>
      </w:pPr>
      <w:r>
        <w:rPr>
          <w:b/>
          <w:bCs/>
          <w:color w:val="202122"/>
          <w:sz w:val="22"/>
          <w:szCs w:val="22"/>
          <w:lang w:val="de-AT"/>
        </w:rPr>
        <w:t>Die Hauptgeschäftsbereiche der NBP</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Geldpolitik betreiben: Die NBP  steuert die Geldpolitik, um die wirtschaftliche Stabilität zu gewährleisten. Dies umfasst die Festlegung von Zinssätzen, die Überwachung der Geldmenge und die Verwaltung des Wechselkurses.</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Aktivitäten für die Stabilität des heimischen Finanzsystems: Die NBP arbeitet daran, die Stabilität des heimischen Finanzsystems zu gewährleisten, indem sie die Banken überwacht und gegebenenfalls eingreift, um Probleme zu lösen und Krisen zu verhindern.</w:t>
      </w:r>
    </w:p>
    <w:p>
      <w:pPr>
        <w:numPr>
          <w:ilvl w:val="0"/>
          <w:numId w:val="3"/>
        </w:numPr>
        <w:tabs>
          <w:tab w:val="left" w:pos="284"/>
          <w:tab w:val="left" w:pos="720"/>
          <w:tab w:val="clear" w:pos="644"/>
        </w:tabs>
        <w:spacing w:line="360" w:lineRule="auto"/>
        <w:ind w:left="0"/>
        <w:rPr>
          <w:rFonts w:ascii="Times New Roman" w:hAnsi="Times New Roman" w:cs="Times New Roman"/>
          <w:lang w:val="de-AT"/>
        </w:rPr>
      </w:pPr>
      <w:r>
        <w:rPr>
          <w:rFonts w:ascii="Times New Roman" w:hAnsi="Times New Roman" w:cs="Times New Roman"/>
          <w:lang w:val="de-AT"/>
        </w:rPr>
        <w:t>Emissionstätigkeit: Die NBP ist für die Ausgabe von Banknoten und Münzen verantwortlich.</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Entwicklung des Zahlungssystems: Die NBP arbeitet an der Entwicklung des nationalen Zahlungssystems, um sichere Abwicklung von Zahlungen zu gewährleisten.</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Verwaltung der polnischen Devisenreserven: Die NBP verwaltet die Devisenreserven des Landes, um die Stabilität des Wechselkurses zu unterstützen und die Zahlungsfähigkeit im internationalen Handel sicherzustellen.</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Staatliche Schatzkammer: Die NBP verwaltet die staatliche Schatzkammer und unterstützt die Regierung bei der Verwaltung von Finanzmitteln.</w:t>
      </w:r>
    </w:p>
    <w:p>
      <w:pPr>
        <w:numPr>
          <w:ilvl w:val="0"/>
          <w:numId w:val="3"/>
        </w:numPr>
        <w:tabs>
          <w:tab w:val="left" w:pos="720"/>
        </w:tabs>
        <w:spacing w:line="360" w:lineRule="auto"/>
        <w:ind w:left="0"/>
        <w:rPr>
          <w:rFonts w:ascii="Times New Roman" w:hAnsi="Times New Roman" w:cs="Times New Roman"/>
          <w:lang w:val="de-AT"/>
        </w:rPr>
      </w:pPr>
      <w:r>
        <w:rPr>
          <w:rFonts w:ascii="Times New Roman" w:hAnsi="Times New Roman" w:cs="Times New Roman"/>
          <w:lang w:val="de-AT"/>
        </w:rPr>
        <w:t>Bildungs- und Informationsaktivitäten: Die NBP führt Bildungs- und Informationskampagnen durch, um die Öffentlichkeit über wirtschaftliche und finanzielle Themen aufzuklären und das Verständnis für die Rolle der Zentralbank zu fördern.</w:t>
      </w:r>
    </w:p>
    <w:p>
      <w:pPr>
        <w:spacing w:line="256" w:lineRule="auto"/>
        <w:jc w:val="both"/>
        <w:rPr>
          <w:rFonts w:ascii="Times New Roman" w:hAnsi="Times New Roman" w:cs="Times New Roman"/>
          <w:lang w:val="de-DE"/>
        </w:rPr>
      </w:pPr>
      <w:r>
        <w:rPr>
          <w:rFonts w:ascii="Times New Roman" w:hAnsi="Times New Roman" w:cs="Times New Roman"/>
          <w:lang w:val="de-DE"/>
        </w:rPr>
        <w:t>Jetzt möchte ich Ihnen vier Fragen aus dem Inhalt der Präsentation stellen.</w:t>
      </w:r>
    </w:p>
    <w:p>
      <w:pPr>
        <w:pStyle w:val="13"/>
        <w:shd w:val="clear" w:color="auto" w:fill="FFFFFF"/>
        <w:tabs>
          <w:tab w:val="left" w:pos="284"/>
        </w:tabs>
        <w:spacing w:before="0" w:beforeAutospacing="0" w:line="360" w:lineRule="auto"/>
        <w:jc w:val="both"/>
        <w:rPr>
          <w:sz w:val="22"/>
          <w:szCs w:val="22"/>
          <w:lang w:val="de-AT"/>
        </w:rPr>
      </w:pPr>
      <w:r>
        <w:rPr>
          <w:sz w:val="22"/>
          <w:szCs w:val="22"/>
          <w:lang w:val="de-AT"/>
        </w:rPr>
        <w:t>Hier präsentiere ich Wortschatz.</w:t>
      </w:r>
    </w:p>
    <w:p>
      <w:pPr>
        <w:pStyle w:val="13"/>
        <w:shd w:val="clear" w:color="auto" w:fill="FFFFFF"/>
        <w:tabs>
          <w:tab w:val="left" w:pos="284"/>
        </w:tabs>
        <w:spacing w:before="0" w:beforeAutospacing="0" w:line="360" w:lineRule="auto"/>
        <w:jc w:val="both"/>
        <w:rPr>
          <w:sz w:val="22"/>
          <w:szCs w:val="22"/>
          <w:lang w:val="de-AT"/>
        </w:rPr>
      </w:pPr>
      <w:r>
        <w:rPr>
          <w:sz w:val="22"/>
          <w:szCs w:val="22"/>
          <w:lang w:val="de-AT"/>
        </w:rPr>
        <w:t>Hier präsentiere ich die Informationsquellen, die ich während der Präsentation verwendet habe.</w:t>
      </w:r>
    </w:p>
    <w:p>
      <w:pPr>
        <w:spacing w:line="256" w:lineRule="auto"/>
        <w:jc w:val="both"/>
        <w:rPr>
          <w:rFonts w:ascii="Times New Roman" w:hAnsi="Times New Roman" w:cs="Times New Roman"/>
          <w:lang w:val="de-DE"/>
        </w:rPr>
      </w:pPr>
      <w:r>
        <w:rPr>
          <w:rFonts w:ascii="Times New Roman" w:hAnsi="Times New Roman" w:cs="Times New Roman"/>
          <w:lang w:val="de-DE"/>
        </w:rPr>
        <w:t>Vielen Dank für Ihre Aufmerksamkeit.</w:t>
      </w:r>
    </w:p>
    <w:p>
      <w:pPr>
        <w:rPr>
          <w:lang w:val="de-DE"/>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572BF"/>
    <w:multiLevelType w:val="multilevel"/>
    <w:tmpl w:val="058572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79201FC"/>
    <w:multiLevelType w:val="multilevel"/>
    <w:tmpl w:val="479201FC"/>
    <w:lvl w:ilvl="0" w:tentative="0">
      <w:start w:val="1"/>
      <w:numFmt w:val="bullet"/>
      <w:lvlText w:val=""/>
      <w:lvlJc w:val="left"/>
      <w:pPr>
        <w:tabs>
          <w:tab w:val="left" w:pos="644"/>
        </w:tabs>
        <w:ind w:left="644"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F1F1682"/>
    <w:multiLevelType w:val="multilevel"/>
    <w:tmpl w:val="4F1F16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lvlOverride w:ilvl="1">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9D6DA7"/>
    <w:rsid w:val="00233690"/>
    <w:rsid w:val="00416E15"/>
    <w:rsid w:val="00654A00"/>
    <w:rsid w:val="006551B2"/>
    <w:rsid w:val="006F4D3B"/>
    <w:rsid w:val="007701FA"/>
    <w:rsid w:val="009C1A89"/>
    <w:rsid w:val="009D6DA7"/>
    <w:rsid w:val="00AF26EE"/>
    <w:rsid w:val="00B51963"/>
    <w:rsid w:val="00B63797"/>
    <w:rsid w:val="00C146C7"/>
    <w:rsid w:val="5FA97DA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14">
    <w:name w:val="Subtitle"/>
    <w:basedOn w:val="1"/>
    <w:next w:val="1"/>
    <w:link w:val="26"/>
    <w:qFormat/>
    <w:uiPriority w:val="11"/>
    <w:rPr>
      <w:rFonts w:eastAsiaTheme="majorEastAsia" w:cstheme="majorBidi"/>
      <w:color w:val="585858" w:themeColor="text1" w:themeTint="A6"/>
      <w:spacing w:val="15"/>
      <w:sz w:val="28"/>
      <w:szCs w:val="28"/>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główek 1 Znak"/>
    <w:basedOn w:val="11"/>
    <w:link w:val="2"/>
    <w:qFormat/>
    <w:uiPriority w:val="9"/>
    <w:rPr>
      <w:rFonts w:asciiTheme="majorHAnsi" w:hAnsiTheme="majorHAnsi" w:eastAsiaTheme="majorEastAsia" w:cstheme="majorBidi"/>
      <w:color w:val="0F4761" w:themeColor="accent1" w:themeShade="BF"/>
      <w:sz w:val="40"/>
      <w:szCs w:val="40"/>
    </w:rPr>
  </w:style>
  <w:style w:type="character" w:customStyle="1" w:styleId="17">
    <w:name w:val="Nagłówek 2 Znak"/>
    <w:basedOn w:val="11"/>
    <w:link w:val="3"/>
    <w:semiHidden/>
    <w:qFormat/>
    <w:uiPriority w:val="9"/>
    <w:rPr>
      <w:rFonts w:asciiTheme="majorHAnsi" w:hAnsiTheme="majorHAnsi" w:eastAsiaTheme="majorEastAsia" w:cstheme="majorBidi"/>
      <w:color w:val="0F4761" w:themeColor="accent1" w:themeShade="BF"/>
      <w:sz w:val="32"/>
      <w:szCs w:val="32"/>
    </w:rPr>
  </w:style>
  <w:style w:type="character" w:customStyle="1" w:styleId="18">
    <w:name w:val="Nagłówek 3 Znak"/>
    <w:basedOn w:val="11"/>
    <w:link w:val="4"/>
    <w:semiHidden/>
    <w:qFormat/>
    <w:uiPriority w:val="9"/>
    <w:rPr>
      <w:rFonts w:eastAsiaTheme="majorEastAsia" w:cstheme="majorBidi"/>
      <w:color w:val="0F4761" w:themeColor="accent1" w:themeShade="BF"/>
      <w:sz w:val="28"/>
      <w:szCs w:val="28"/>
    </w:rPr>
  </w:style>
  <w:style w:type="character" w:customStyle="1" w:styleId="19">
    <w:name w:val="Nagłówek 4 Znak"/>
    <w:basedOn w:val="11"/>
    <w:link w:val="5"/>
    <w:semiHidden/>
    <w:qFormat/>
    <w:uiPriority w:val="9"/>
    <w:rPr>
      <w:rFonts w:eastAsiaTheme="majorEastAsia" w:cstheme="majorBidi"/>
      <w:i/>
      <w:iCs/>
      <w:color w:val="0F4761" w:themeColor="accent1" w:themeShade="BF"/>
    </w:rPr>
  </w:style>
  <w:style w:type="character" w:customStyle="1" w:styleId="20">
    <w:name w:val="Nagłówek 5 Znak"/>
    <w:basedOn w:val="11"/>
    <w:link w:val="6"/>
    <w:semiHidden/>
    <w:qFormat/>
    <w:uiPriority w:val="9"/>
    <w:rPr>
      <w:rFonts w:eastAsiaTheme="majorEastAsia" w:cstheme="majorBidi"/>
      <w:color w:val="0F4761" w:themeColor="accent1" w:themeShade="BF"/>
    </w:rPr>
  </w:style>
  <w:style w:type="character" w:customStyle="1" w:styleId="21">
    <w:name w:val="Nagłówek 6 Znak"/>
    <w:basedOn w:val="11"/>
    <w:link w:val="7"/>
    <w:semiHidden/>
    <w:qFormat/>
    <w:uiPriority w:val="9"/>
    <w:rPr>
      <w:rFonts w:eastAsiaTheme="majorEastAsia" w:cstheme="majorBidi"/>
      <w:i/>
      <w:iCs/>
      <w:color w:val="585858" w:themeColor="text1" w:themeTint="A6"/>
    </w:rPr>
  </w:style>
  <w:style w:type="character" w:customStyle="1" w:styleId="22">
    <w:name w:val="Nagłówek 7 Znak"/>
    <w:basedOn w:val="11"/>
    <w:link w:val="8"/>
    <w:semiHidden/>
    <w:qFormat/>
    <w:uiPriority w:val="9"/>
    <w:rPr>
      <w:rFonts w:eastAsiaTheme="majorEastAsia" w:cstheme="majorBidi"/>
      <w:color w:val="585858" w:themeColor="text1" w:themeTint="A6"/>
    </w:rPr>
  </w:style>
  <w:style w:type="character" w:customStyle="1" w:styleId="23">
    <w:name w:val="Nagłówek 8 Znak"/>
    <w:basedOn w:val="11"/>
    <w:link w:val="9"/>
    <w:semiHidden/>
    <w:qFormat/>
    <w:uiPriority w:val="9"/>
    <w:rPr>
      <w:rFonts w:eastAsiaTheme="majorEastAsia" w:cstheme="majorBidi"/>
      <w:i/>
      <w:iCs/>
      <w:color w:val="262626" w:themeColor="text1" w:themeTint="D8"/>
    </w:rPr>
  </w:style>
  <w:style w:type="character" w:customStyle="1" w:styleId="24">
    <w:name w:val="Nagłówek 9 Znak"/>
    <w:basedOn w:val="11"/>
    <w:link w:val="10"/>
    <w:semiHidden/>
    <w:qFormat/>
    <w:uiPriority w:val="9"/>
    <w:rPr>
      <w:rFonts w:eastAsiaTheme="majorEastAsia" w:cstheme="majorBidi"/>
      <w:color w:val="262626" w:themeColor="text1" w:themeTint="D8"/>
    </w:rPr>
  </w:style>
  <w:style w:type="character" w:customStyle="1" w:styleId="25">
    <w:name w:val="Tytuł Znak"/>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tytuł Znak"/>
    <w:basedOn w:val="11"/>
    <w:link w:val="14"/>
    <w:qFormat/>
    <w:uiPriority w:val="11"/>
    <w:rPr>
      <w:rFonts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jc w:val="center"/>
    </w:pPr>
    <w:rPr>
      <w:i/>
      <w:iCs/>
      <w:color w:val="3F3F3F" w:themeColor="text1" w:themeTint="BF"/>
    </w:rPr>
  </w:style>
  <w:style w:type="character" w:customStyle="1" w:styleId="28">
    <w:name w:val="Cytat Znak"/>
    <w:basedOn w:val="11"/>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Cytat intensywny Znak"/>
    <w:basedOn w:val="11"/>
    <w:link w:val="31"/>
    <w:qFormat/>
    <w:uiPriority w:val="30"/>
    <w:rPr>
      <w:i/>
      <w:iCs/>
      <w:color w:val="0F4761" w:themeColor="accent1" w:themeShade="BF"/>
    </w:rPr>
  </w:style>
  <w:style w:type="character" w:customStyle="1" w:styleId="33">
    <w:name w:val="Intense Reference"/>
    <w:basedOn w:val="11"/>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032860FE59B94DB7E8C59EF37275DE" ma:contentTypeVersion="4" ma:contentTypeDescription="Utwórz nowy dokument." ma:contentTypeScope="" ma:versionID="30a33ceb647133b84e5dba8a309f7008">
  <xsd:schema xmlns:xsd="http://www.w3.org/2001/XMLSchema" xmlns:xs="http://www.w3.org/2001/XMLSchema" xmlns:p="http://schemas.microsoft.com/office/2006/metadata/properties" xmlns:ns2="6088189d-10d2-4b44-9742-ab2d115595fe" targetNamespace="http://schemas.microsoft.com/office/2006/metadata/properties" ma:root="true" ma:fieldsID="513c54406955a8cf909538105aa7cd4f" ns2:_="">
    <xsd:import namespace="6088189d-10d2-4b44-9742-ab2d115595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8189d-10d2-4b44-9742-ab2d1155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39B36-1186-46F0-8E37-C7B56C8F90CD}"/>
</file>

<file path=customXml/itemProps2.xml><?xml version="1.0" encoding="utf-8"?>
<ds:datastoreItem xmlns:ds="http://schemas.openxmlformats.org/officeDocument/2006/customXml" ds:itemID="{A5D2ACA5-BF23-4E61-9E08-EB369C6618F8}"/>
</file>

<file path=customXml/itemProps3.xml><?xml version="1.0" encoding="utf-8"?>
<ds:datastoreItem xmlns:ds="http://schemas.openxmlformats.org/officeDocument/2006/customXml" ds:itemID="{3BA8246D-872A-4954-952C-E3D8206A077A}"/>
</file>

<file path=docProps/app.xml><?xml version="1.0" encoding="utf-8"?>
<Properties xmlns="http://schemas.openxmlformats.org/officeDocument/2006/extended-properties" xmlns:vt="http://schemas.openxmlformats.org/officeDocument/2006/docPropsVTypes">
  <Template>Normal</Template>
  <Pages>3</Pages>
  <Words>723</Words>
  <Characters>4342</Characters>
  <Lines>36</Lines>
  <Paragraphs>10</Paragraphs>
  <TotalTime>38</TotalTime>
  <ScaleCrop>false</ScaleCrop>
  <LinksUpToDate>false</LinksUpToDate>
  <CharactersWithSpaces>5055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Naróg</dc:creator>
  <cp:lastModifiedBy>Barbara Skoczyńska -Prokopowi</cp:lastModifiedBy>
  <cp:revision>9</cp:revision>
  <dcterms:created xsi:type="dcterms:W3CDTF">2024-03-15T08:53:00Z</dcterms:created>
  <dcterms:modified xsi:type="dcterms:W3CDTF">2024-03-18T15:36:23Z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3842F2A2793A4D7DB1A01FACB0D63D20_12</vt:lpwstr>
  </property>
  <property fmtid="{D5CDD505-2E9C-101B-9397-08002B2CF9AE}" pid="4" name="ContentTypeId">
    <vt:lpwstr>0x0101000F032860FE59B94DB7E8C59EF37275DE</vt:lpwstr>
  </property>
</Properties>
</file>