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BA13" w14:textId="77777777" w:rsidR="00150D27" w:rsidRPr="00BF7A8E" w:rsidRDefault="00150D27" w:rsidP="00693B36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BF7A8E">
        <w:rPr>
          <w:rFonts w:cstheme="minorHAnsi"/>
          <w:sz w:val="24"/>
          <w:szCs w:val="24"/>
          <w:shd w:val="clear" w:color="auto" w:fill="FFFFFF"/>
          <w:lang w:val="de-DE"/>
        </w:rPr>
        <w:t>Meine Damen und Herren ich begrüße Sie herzlich zu meiner Präsentation.</w:t>
      </w:r>
      <w:r w:rsidRPr="00BF7A8E">
        <w:rPr>
          <w:rFonts w:cstheme="minorHAnsi"/>
          <w:sz w:val="24"/>
          <w:szCs w:val="24"/>
          <w:shd w:val="clear" w:color="auto" w:fill="FFFFFF"/>
          <w:lang w:val="de-DE"/>
        </w:rPr>
        <w:br/>
        <w:t>Mein Name ist Marta Marciniec.</w:t>
      </w:r>
      <w:r w:rsidRPr="00BF7A8E">
        <w:rPr>
          <w:rFonts w:cstheme="minorHAnsi"/>
          <w:sz w:val="24"/>
          <w:szCs w:val="24"/>
          <w:shd w:val="clear" w:color="auto" w:fill="FFFFFF"/>
          <w:lang w:val="de-DE"/>
        </w:rPr>
        <w:tab/>
      </w:r>
      <w:r w:rsidRPr="00BF7A8E">
        <w:rPr>
          <w:rFonts w:cstheme="minorHAnsi"/>
          <w:sz w:val="24"/>
          <w:szCs w:val="24"/>
          <w:shd w:val="clear" w:color="auto" w:fill="FFFFFF"/>
          <w:lang w:val="de-DE"/>
        </w:rPr>
        <w:br/>
        <w:t>Ich möchte heute folgendes Thema präsentieren: Verbraucherinsolvenz.</w:t>
      </w:r>
    </w:p>
    <w:p w14:paraId="07E22FCD" w14:textId="2F5FC37F" w:rsidR="00A736CB" w:rsidRDefault="00A736CB" w:rsidP="00693B36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A736CB">
        <w:rPr>
          <w:rFonts w:cstheme="minorHAnsi"/>
          <w:sz w:val="24"/>
          <w:szCs w:val="24"/>
          <w:shd w:val="clear" w:color="auto" w:fill="FFFFFF"/>
          <w:lang w:val="de-DE"/>
        </w:rPr>
        <w:t xml:space="preserve">Während meiner Präsentation ich werde die Definition von </w:t>
      </w:r>
      <w:proofErr w:type="gramStart"/>
      <w:r w:rsidRPr="00A736CB">
        <w:rPr>
          <w:rFonts w:cstheme="minorHAnsi"/>
          <w:sz w:val="24"/>
          <w:szCs w:val="24"/>
          <w:shd w:val="clear" w:color="auto" w:fill="FFFFFF"/>
          <w:lang w:val="de-DE"/>
        </w:rPr>
        <w:t>Verbraucherinsolvenz</w:t>
      </w:r>
      <w:r w:rsidR="00F71805">
        <w:rPr>
          <w:rFonts w:cstheme="minorHAnsi"/>
          <w:sz w:val="24"/>
          <w:szCs w:val="24"/>
          <w:shd w:val="clear" w:color="auto" w:fill="FFFFFF"/>
          <w:lang w:val="de-DE"/>
        </w:rPr>
        <w:t xml:space="preserve"> </w:t>
      </w:r>
      <w:r w:rsidRPr="00A736CB">
        <w:rPr>
          <w:rFonts w:cstheme="minorHAnsi"/>
          <w:sz w:val="24"/>
          <w:szCs w:val="24"/>
          <w:shd w:val="clear" w:color="auto" w:fill="FFFFFF"/>
          <w:lang w:val="de-DE"/>
        </w:rPr>
        <w:t xml:space="preserve"> vorstellen</w:t>
      </w:r>
      <w:proofErr w:type="gramEnd"/>
      <w:r w:rsidRPr="00A736CB">
        <w:rPr>
          <w:rFonts w:cstheme="minorHAnsi"/>
          <w:sz w:val="24"/>
          <w:szCs w:val="24"/>
          <w:shd w:val="clear" w:color="auto" w:fill="FFFFFF"/>
          <w:lang w:val="de-DE"/>
        </w:rPr>
        <w:t>. Als nächstes ich werde einen kurzen historischen Abriss vorstellen und wer einen Antrag auf Verbraucherinsolvenz stellen kann. Ich zeige Ihnen die Vor- und Nachteile einer Verbraucherinsolvenz auf. Der letzte Punkt meiner Präsentation wird die Zahl der angemeldeten Verbraucherinsolvenzen in Polen und Deutschland sein.</w:t>
      </w:r>
    </w:p>
    <w:p w14:paraId="6210A766" w14:textId="6B938CAD" w:rsidR="00D07633" w:rsidRPr="00BF7A8E" w:rsidRDefault="00D07633" w:rsidP="00693B36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BF7A8E">
        <w:rPr>
          <w:rFonts w:cstheme="minorHAnsi"/>
          <w:sz w:val="24"/>
          <w:szCs w:val="24"/>
          <w:shd w:val="clear" w:color="auto" w:fill="FFFFFF"/>
          <w:lang w:val="de-DE"/>
        </w:rPr>
        <w:t>Die Verbraucherinsolvenz ist ein vereinfachtes Insolvenzverfahren, das sich an natürliche Personen richtet. Z</w:t>
      </w:r>
      <w:r w:rsidR="004A0879">
        <w:rPr>
          <w:rFonts w:cstheme="minorHAnsi"/>
          <w:sz w:val="24"/>
          <w:szCs w:val="24"/>
          <w:shd w:val="clear" w:color="auto" w:fill="FFFFFF"/>
          <w:lang w:val="de-DE"/>
        </w:rPr>
        <w:t>iel</w:t>
      </w:r>
      <w:r w:rsidRPr="00BF7A8E">
        <w:rPr>
          <w:rFonts w:cstheme="minorHAnsi"/>
          <w:sz w:val="24"/>
          <w:szCs w:val="24"/>
          <w:shd w:val="clear" w:color="auto" w:fill="FFFFFF"/>
          <w:lang w:val="de-DE"/>
        </w:rPr>
        <w:t xml:space="preserve"> der Verbraucherinsolvenz ist Schulden zu regulieren. Häufig </w:t>
      </w:r>
      <w:r w:rsidR="00720EB1" w:rsidRPr="00720EB1">
        <w:rPr>
          <w:rFonts w:cstheme="minorHAnsi"/>
          <w:sz w:val="24"/>
          <w:szCs w:val="24"/>
          <w:highlight w:val="yellow"/>
          <w:shd w:val="clear" w:color="auto" w:fill="FFFFFF"/>
          <w:lang w:val="de-DE"/>
        </w:rPr>
        <w:t>wird</w:t>
      </w:r>
      <w:r w:rsidR="00720EB1">
        <w:rPr>
          <w:rFonts w:cstheme="minorHAnsi"/>
          <w:sz w:val="24"/>
          <w:szCs w:val="24"/>
          <w:shd w:val="clear" w:color="auto" w:fill="FFFFFF"/>
          <w:lang w:val="de-DE"/>
        </w:rPr>
        <w:t xml:space="preserve"> </w:t>
      </w:r>
      <w:r w:rsidRPr="00BF7A8E">
        <w:rPr>
          <w:rFonts w:cstheme="minorHAnsi"/>
          <w:sz w:val="24"/>
          <w:szCs w:val="24"/>
          <w:shd w:val="clear" w:color="auto" w:fill="FFFFFF"/>
          <w:lang w:val="de-DE"/>
        </w:rPr>
        <w:t xml:space="preserve">die </w:t>
      </w:r>
      <w:proofErr w:type="gramStart"/>
      <w:r w:rsidRPr="00BF7A8E">
        <w:rPr>
          <w:rFonts w:cstheme="minorHAnsi"/>
          <w:sz w:val="24"/>
          <w:szCs w:val="24"/>
          <w:shd w:val="clear" w:color="auto" w:fill="FFFFFF"/>
          <w:lang w:val="de-DE"/>
        </w:rPr>
        <w:t>Verbraucherinsolvenz  auch</w:t>
      </w:r>
      <w:proofErr w:type="gramEnd"/>
      <w:r w:rsidRPr="00BF7A8E">
        <w:rPr>
          <w:rFonts w:cstheme="minorHAnsi"/>
          <w:sz w:val="24"/>
          <w:szCs w:val="24"/>
          <w:shd w:val="clear" w:color="auto" w:fill="FFFFFF"/>
          <w:lang w:val="de-DE"/>
        </w:rPr>
        <w:t xml:space="preserve"> als Privatinsolvenz bezeichnet.</w:t>
      </w:r>
    </w:p>
    <w:p w14:paraId="6E14107E" w14:textId="77777777" w:rsidR="004B7346" w:rsidRPr="00BF7A8E" w:rsidRDefault="004B7346" w:rsidP="00693B36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BF7A8E">
        <w:rPr>
          <w:rFonts w:cstheme="minorHAnsi"/>
          <w:sz w:val="24"/>
          <w:szCs w:val="24"/>
          <w:shd w:val="clear" w:color="auto" w:fill="FFFFFF"/>
          <w:lang w:val="de-DE"/>
        </w:rPr>
        <w:t xml:space="preserve">Die Verbraucherinsolvenz in Deutschland könnte ab 1999 angekündigt werden. In Polen wurde es am 31. März 2009 in die </w:t>
      </w:r>
      <w:bookmarkStart w:id="0" w:name="_Hlk134447307"/>
      <w:r w:rsidRPr="00BF7A8E">
        <w:rPr>
          <w:rFonts w:cstheme="minorHAnsi"/>
          <w:sz w:val="24"/>
          <w:szCs w:val="24"/>
          <w:shd w:val="clear" w:color="auto" w:fill="FFFFFF"/>
          <w:lang w:val="de-DE"/>
        </w:rPr>
        <w:t>Vorschriften</w:t>
      </w:r>
      <w:bookmarkEnd w:id="0"/>
      <w:r w:rsidRPr="00BF7A8E">
        <w:rPr>
          <w:rFonts w:cstheme="minorHAnsi"/>
          <w:sz w:val="24"/>
          <w:szCs w:val="24"/>
          <w:shd w:val="clear" w:color="auto" w:fill="FFFFFF"/>
          <w:lang w:val="de-DE"/>
        </w:rPr>
        <w:t xml:space="preserve"> aufgenommen. </w:t>
      </w:r>
    </w:p>
    <w:p w14:paraId="389273E7" w14:textId="4655FB40" w:rsidR="00966958" w:rsidRPr="00BF7A8E" w:rsidRDefault="004B7346" w:rsidP="00693B36">
      <w:pPr>
        <w:pStyle w:val="Akapitzlist"/>
        <w:spacing w:line="360" w:lineRule="auto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BF7A8E">
        <w:rPr>
          <w:rFonts w:cstheme="minorHAnsi"/>
          <w:sz w:val="24"/>
          <w:szCs w:val="24"/>
          <w:shd w:val="clear" w:color="auto" w:fill="FFFFFF"/>
          <w:lang w:val="de-DE"/>
        </w:rPr>
        <w:t xml:space="preserve">Die Verbraucherinsolvenz in Deutschland dauert derzeit 3 ​​Jahre. Bis Ende September </w:t>
      </w:r>
      <w:proofErr w:type="gramStart"/>
      <w:r w:rsidRPr="00BF7A8E">
        <w:rPr>
          <w:rFonts w:cstheme="minorHAnsi"/>
          <w:sz w:val="24"/>
          <w:szCs w:val="24"/>
          <w:shd w:val="clear" w:color="auto" w:fill="FFFFFF"/>
          <w:lang w:val="de-DE"/>
        </w:rPr>
        <w:t>2020  die</w:t>
      </w:r>
      <w:proofErr w:type="gramEnd"/>
      <w:r w:rsidRPr="00BF7A8E">
        <w:rPr>
          <w:rFonts w:cstheme="minorHAnsi"/>
          <w:sz w:val="24"/>
          <w:szCs w:val="24"/>
          <w:shd w:val="clear" w:color="auto" w:fill="FFFFFF"/>
          <w:lang w:val="de-DE"/>
        </w:rPr>
        <w:t xml:space="preserve"> Verbraucherinsolvenz dauerte 6 Jahre.</w:t>
      </w:r>
    </w:p>
    <w:p w14:paraId="259A3FD9" w14:textId="0EFA0BA9" w:rsidR="00BF7A8E" w:rsidRPr="00BF7A8E" w:rsidRDefault="00AB5E85" w:rsidP="00693B36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720EB1">
        <w:rPr>
          <w:rFonts w:cstheme="minorHAnsi"/>
          <w:sz w:val="24"/>
          <w:szCs w:val="24"/>
          <w:lang w:val="de-DE"/>
        </w:rPr>
        <w:t xml:space="preserve">Die Verbraucherinsolvenz kann nur von natürlichen Personen angemeldet werden. </w:t>
      </w:r>
      <w:r w:rsidR="00BF7A8E" w:rsidRPr="00720EB1">
        <w:rPr>
          <w:rFonts w:cstheme="minorHAnsi"/>
          <w:sz w:val="24"/>
          <w:szCs w:val="24"/>
          <w:lang w:val="de-DE"/>
        </w:rPr>
        <w:t xml:space="preserve">Natürliche Personen sind z.B.: Arbeitnehmer, Rentner und </w:t>
      </w:r>
      <w:bookmarkStart w:id="1" w:name="_Hlk134447488"/>
      <w:r w:rsidR="00BF7A8E" w:rsidRPr="00720EB1">
        <w:rPr>
          <w:rFonts w:cstheme="minorHAnsi"/>
          <w:sz w:val="24"/>
          <w:szCs w:val="24"/>
          <w:lang w:val="de-DE"/>
        </w:rPr>
        <w:t>Bezieher</w:t>
      </w:r>
      <w:bookmarkEnd w:id="1"/>
      <w:r w:rsidR="00BF7A8E" w:rsidRPr="00720EB1">
        <w:rPr>
          <w:rFonts w:cstheme="minorHAnsi"/>
          <w:sz w:val="24"/>
          <w:szCs w:val="24"/>
          <w:lang w:val="de-DE"/>
        </w:rPr>
        <w:t xml:space="preserve"> von </w:t>
      </w:r>
      <w:bookmarkStart w:id="2" w:name="_Hlk134447457"/>
      <w:r w:rsidR="00BF7A8E" w:rsidRPr="00720EB1">
        <w:rPr>
          <w:rFonts w:cstheme="minorHAnsi"/>
          <w:sz w:val="24"/>
          <w:szCs w:val="24"/>
          <w:lang w:val="de-DE"/>
        </w:rPr>
        <w:t>Arbeitslosengeld</w:t>
      </w:r>
      <w:bookmarkEnd w:id="2"/>
      <w:r w:rsidR="00BF7A8E" w:rsidRPr="00720EB1">
        <w:rPr>
          <w:rFonts w:cstheme="minorHAnsi"/>
          <w:sz w:val="24"/>
          <w:szCs w:val="24"/>
          <w:lang w:val="de-DE"/>
        </w:rPr>
        <w:t xml:space="preserve">. </w:t>
      </w:r>
      <w:r w:rsidRPr="00720EB1">
        <w:rPr>
          <w:rFonts w:cstheme="minorHAnsi"/>
          <w:sz w:val="24"/>
          <w:szCs w:val="24"/>
          <w:lang w:val="de-DE"/>
        </w:rPr>
        <w:t xml:space="preserve">Die Verbraucherinsolvenz kann auch von Personen angemeldet werden, die zuvor ein eigenes Unternehmen geführt haben. Diese Personen dürfen nicht mehr als 20 </w:t>
      </w:r>
      <w:bookmarkStart w:id="3" w:name="_Hlk134447522"/>
      <w:r w:rsidRPr="00720EB1">
        <w:rPr>
          <w:rFonts w:cstheme="minorHAnsi"/>
          <w:sz w:val="24"/>
          <w:szCs w:val="24"/>
          <w:lang w:val="de-DE"/>
        </w:rPr>
        <w:t>Gläubiger</w:t>
      </w:r>
      <w:bookmarkEnd w:id="3"/>
      <w:r w:rsidRPr="00720EB1">
        <w:rPr>
          <w:rFonts w:cstheme="minorHAnsi"/>
          <w:sz w:val="24"/>
          <w:szCs w:val="24"/>
          <w:lang w:val="de-DE"/>
        </w:rPr>
        <w:t xml:space="preserve"> haben und keine </w:t>
      </w:r>
      <w:bookmarkStart w:id="4" w:name="_Hlk134447549"/>
      <w:r w:rsidRPr="00720EB1">
        <w:rPr>
          <w:rFonts w:cstheme="minorHAnsi"/>
          <w:sz w:val="24"/>
          <w:szCs w:val="24"/>
          <w:lang w:val="de-DE"/>
        </w:rPr>
        <w:t>Arbeitnehmerverpflichtungen</w:t>
      </w:r>
      <w:bookmarkEnd w:id="4"/>
      <w:r w:rsidRPr="00720EB1">
        <w:rPr>
          <w:rFonts w:cstheme="minorHAnsi"/>
          <w:sz w:val="24"/>
          <w:szCs w:val="24"/>
          <w:lang w:val="de-DE"/>
        </w:rPr>
        <w:t xml:space="preserve"> (z. B. Sozialversicherungsbeiträge) haben.</w:t>
      </w:r>
    </w:p>
    <w:p w14:paraId="21E970A5" w14:textId="12BA894E" w:rsidR="00DE06FE" w:rsidRPr="00720EB1" w:rsidRDefault="00DE06FE" w:rsidP="00693B36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lang w:val="de-DE"/>
        </w:rPr>
      </w:pPr>
      <w:bookmarkStart w:id="5" w:name="_Hlk134447870"/>
      <w:r w:rsidRPr="00720EB1">
        <w:rPr>
          <w:rFonts w:cstheme="minorHAnsi"/>
          <w:sz w:val="24"/>
          <w:szCs w:val="24"/>
          <w:lang w:val="de-DE"/>
        </w:rPr>
        <w:t xml:space="preserve">Der erste Vorteil der Verbraucherinsolvenz ist, dass sie eine Chance für einen </w:t>
      </w:r>
      <w:bookmarkStart w:id="6" w:name="_Hlk134447601"/>
      <w:r w:rsidRPr="00720EB1">
        <w:rPr>
          <w:rFonts w:cstheme="minorHAnsi"/>
          <w:sz w:val="24"/>
          <w:szCs w:val="24"/>
          <w:lang w:val="de-DE"/>
        </w:rPr>
        <w:t>Neuanfang</w:t>
      </w:r>
      <w:bookmarkEnd w:id="6"/>
      <w:r w:rsidRPr="00720EB1">
        <w:rPr>
          <w:rFonts w:cstheme="minorHAnsi"/>
          <w:sz w:val="24"/>
          <w:szCs w:val="24"/>
          <w:lang w:val="de-DE"/>
        </w:rPr>
        <w:t xml:space="preserve"> bietet. Die Verbraucherinsolvenz befreit Sie von Schulden. Die </w:t>
      </w:r>
      <w:bookmarkStart w:id="7" w:name="_Hlk134447882"/>
      <w:r w:rsidRPr="00720EB1">
        <w:rPr>
          <w:rFonts w:cstheme="minorHAnsi"/>
          <w:sz w:val="24"/>
          <w:szCs w:val="24"/>
          <w:lang w:val="de-DE"/>
        </w:rPr>
        <w:t xml:space="preserve">Feststellung </w:t>
      </w:r>
      <w:bookmarkEnd w:id="7"/>
      <w:r w:rsidRPr="00720EB1">
        <w:rPr>
          <w:rFonts w:cstheme="minorHAnsi"/>
          <w:sz w:val="24"/>
          <w:szCs w:val="24"/>
          <w:lang w:val="de-DE"/>
        </w:rPr>
        <w:t xml:space="preserve">der Verbraucherinsolvenz durch das Gericht bedeutet, dass eine solche Person nicht vom </w:t>
      </w:r>
      <w:bookmarkStart w:id="8" w:name="_Hlk134447949"/>
      <w:r w:rsidRPr="00720EB1">
        <w:rPr>
          <w:rFonts w:cstheme="minorHAnsi"/>
          <w:sz w:val="24"/>
          <w:szCs w:val="24"/>
          <w:lang w:val="de-DE"/>
        </w:rPr>
        <w:t>Gerichtsvollzieher</w:t>
      </w:r>
      <w:bookmarkEnd w:id="8"/>
      <w:r w:rsidRPr="00720EB1">
        <w:rPr>
          <w:rFonts w:cstheme="minorHAnsi"/>
          <w:sz w:val="24"/>
          <w:szCs w:val="24"/>
          <w:lang w:val="de-DE"/>
        </w:rPr>
        <w:t xml:space="preserve"> besucht wird. </w:t>
      </w:r>
      <w:r w:rsidRPr="00720EB1">
        <w:rPr>
          <w:rFonts w:cstheme="minorHAnsi"/>
          <w:sz w:val="24"/>
          <w:szCs w:val="24"/>
          <w:highlight w:val="yellow"/>
          <w:lang w:val="de-DE"/>
        </w:rPr>
        <w:t>Der vierte</w:t>
      </w:r>
      <w:r w:rsidRPr="00720EB1">
        <w:rPr>
          <w:rFonts w:cstheme="minorHAnsi"/>
          <w:sz w:val="24"/>
          <w:szCs w:val="24"/>
          <w:lang w:val="de-DE"/>
        </w:rPr>
        <w:t xml:space="preserve"> Vorteil der Verbraucherinsolvenz ist </w:t>
      </w:r>
      <w:proofErr w:type="gramStart"/>
      <w:r w:rsidRPr="00720EB1">
        <w:rPr>
          <w:rFonts w:cstheme="minorHAnsi"/>
          <w:sz w:val="24"/>
          <w:szCs w:val="24"/>
          <w:lang w:val="de-DE"/>
        </w:rPr>
        <w:t xml:space="preserve">das </w:t>
      </w:r>
      <w:r w:rsidR="008361E1" w:rsidRPr="00720EB1">
        <w:rPr>
          <w:rFonts w:cstheme="minorHAnsi"/>
          <w:sz w:val="24"/>
          <w:szCs w:val="24"/>
          <w:lang w:val="de-DE"/>
        </w:rPr>
        <w:t>Mangel</w:t>
      </w:r>
      <w:proofErr w:type="gramEnd"/>
      <w:r w:rsidRPr="00720EB1">
        <w:rPr>
          <w:rFonts w:cstheme="minorHAnsi"/>
          <w:sz w:val="24"/>
          <w:szCs w:val="24"/>
          <w:lang w:val="de-DE"/>
        </w:rPr>
        <w:t xml:space="preserve"> von Gläubigerproblemen.</w:t>
      </w:r>
    </w:p>
    <w:bookmarkEnd w:id="5"/>
    <w:p w14:paraId="772D265D" w14:textId="0B9F2083" w:rsidR="00CF77F9" w:rsidRPr="00720EB1" w:rsidRDefault="00CF77F9" w:rsidP="00693B36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lang w:val="de-DE"/>
        </w:rPr>
      </w:pPr>
      <w:r w:rsidRPr="00720EB1">
        <w:rPr>
          <w:rFonts w:cstheme="minorHAnsi"/>
          <w:sz w:val="24"/>
          <w:szCs w:val="24"/>
          <w:lang w:val="de-DE"/>
        </w:rPr>
        <w:t xml:space="preserve">Zu den Nachteilen einer Verbraucherinsolvenz gehören informieren des Arbeitgebers, </w:t>
      </w:r>
      <w:bookmarkStart w:id="9" w:name="_Hlk134448139"/>
      <w:r w:rsidR="00DE06FE" w:rsidRPr="00720EB1">
        <w:rPr>
          <w:rFonts w:cstheme="minorHAnsi"/>
          <w:sz w:val="24"/>
          <w:szCs w:val="24"/>
          <w:lang w:val="de-DE"/>
        </w:rPr>
        <w:t>Pfändung</w:t>
      </w:r>
      <w:bookmarkEnd w:id="9"/>
      <w:r w:rsidR="00DE06FE" w:rsidRPr="00720EB1">
        <w:rPr>
          <w:rFonts w:cstheme="minorHAnsi"/>
          <w:sz w:val="24"/>
          <w:szCs w:val="24"/>
          <w:lang w:val="de-DE"/>
        </w:rPr>
        <w:t xml:space="preserve"> des Einkomm</w:t>
      </w:r>
      <w:r w:rsidR="00DE06FE" w:rsidRPr="00720EB1">
        <w:rPr>
          <w:rFonts w:cstheme="minorHAnsi"/>
          <w:sz w:val="24"/>
          <w:szCs w:val="24"/>
          <w:highlight w:val="yellow"/>
          <w:lang w:val="de-DE"/>
        </w:rPr>
        <w:t>e</w:t>
      </w:r>
      <w:r w:rsidR="00720EB1" w:rsidRPr="00720EB1">
        <w:rPr>
          <w:rFonts w:cstheme="minorHAnsi"/>
          <w:sz w:val="24"/>
          <w:szCs w:val="24"/>
          <w:highlight w:val="yellow"/>
          <w:lang w:val="de-DE"/>
        </w:rPr>
        <w:t>n</w:t>
      </w:r>
      <w:r w:rsidR="00DE06FE" w:rsidRPr="00720EB1">
        <w:rPr>
          <w:rFonts w:cstheme="minorHAnsi"/>
          <w:sz w:val="24"/>
          <w:szCs w:val="24"/>
          <w:highlight w:val="yellow"/>
          <w:lang w:val="de-DE"/>
        </w:rPr>
        <w:t>s</w:t>
      </w:r>
      <w:r w:rsidR="00DE06FE" w:rsidRPr="00720EB1">
        <w:rPr>
          <w:rFonts w:cstheme="minorHAnsi"/>
          <w:sz w:val="24"/>
          <w:szCs w:val="24"/>
          <w:lang w:val="de-DE"/>
        </w:rPr>
        <w:t xml:space="preserve">, </w:t>
      </w:r>
      <w:r w:rsidRPr="00720EB1">
        <w:rPr>
          <w:rFonts w:cstheme="minorHAnsi"/>
          <w:sz w:val="24"/>
          <w:szCs w:val="24"/>
          <w:lang w:val="de-DE"/>
        </w:rPr>
        <w:t xml:space="preserve">lange </w:t>
      </w:r>
      <w:r w:rsidR="00720EB1" w:rsidRPr="00720EB1">
        <w:rPr>
          <w:rFonts w:cstheme="minorHAnsi"/>
          <w:sz w:val="24"/>
          <w:szCs w:val="24"/>
          <w:highlight w:val="yellow"/>
          <w:lang w:val="de-DE"/>
        </w:rPr>
        <w:t>Dauer</w:t>
      </w:r>
      <w:r w:rsidRPr="00720EB1">
        <w:rPr>
          <w:rFonts w:cstheme="minorHAnsi"/>
          <w:sz w:val="24"/>
          <w:szCs w:val="24"/>
          <w:lang w:val="de-DE"/>
        </w:rPr>
        <w:t xml:space="preserve"> (3 Jahre Insolvenz plus drei Jahre auf der Schufa-Liste), Kosten und Probleme beim </w:t>
      </w:r>
      <w:bookmarkStart w:id="10" w:name="_Hlk134448173"/>
      <w:r w:rsidRPr="00720EB1">
        <w:rPr>
          <w:rFonts w:cstheme="minorHAnsi"/>
          <w:sz w:val="24"/>
          <w:szCs w:val="24"/>
          <w:lang w:val="de-DE"/>
        </w:rPr>
        <w:t>Wohnungswechsel</w:t>
      </w:r>
      <w:bookmarkEnd w:id="10"/>
      <w:r w:rsidRPr="00720EB1">
        <w:rPr>
          <w:rFonts w:cstheme="minorHAnsi"/>
          <w:sz w:val="24"/>
          <w:szCs w:val="24"/>
          <w:lang w:val="de-DE"/>
        </w:rPr>
        <w:t xml:space="preserve">. </w:t>
      </w:r>
    </w:p>
    <w:p w14:paraId="7B2D5D66" w14:textId="67EA432F" w:rsidR="004919BD" w:rsidRPr="00D74849" w:rsidRDefault="0082511A" w:rsidP="00693B36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720EB1">
        <w:rPr>
          <w:rFonts w:cstheme="minorHAnsi"/>
          <w:sz w:val="24"/>
          <w:szCs w:val="24"/>
          <w:lang w:val="de-DE"/>
        </w:rPr>
        <w:t xml:space="preserve">Das Diagramm zeigt die Anzahl der Verbraucherinsolvenzen, die in Polen und Deutschland in den Jahren 2015-2022 angemeldet wurden. Die Daten stammen von </w:t>
      </w:r>
      <w:proofErr w:type="spellStart"/>
      <w:proofErr w:type="gramStart"/>
      <w:r w:rsidRPr="00720EB1">
        <w:rPr>
          <w:rFonts w:cstheme="minorHAnsi"/>
          <w:sz w:val="24"/>
          <w:szCs w:val="24"/>
          <w:lang w:val="de-DE"/>
        </w:rPr>
        <w:t>de.statista</w:t>
      </w:r>
      <w:proofErr w:type="spellEnd"/>
      <w:proofErr w:type="gramEnd"/>
      <w:r w:rsidR="00720EB1">
        <w:rPr>
          <w:rFonts w:cstheme="minorHAnsi"/>
          <w:sz w:val="24"/>
          <w:szCs w:val="24"/>
          <w:lang w:val="de-DE"/>
        </w:rPr>
        <w:t xml:space="preserve"> </w:t>
      </w:r>
      <w:r w:rsidRPr="00720EB1">
        <w:rPr>
          <w:rFonts w:cstheme="minorHAnsi"/>
          <w:sz w:val="24"/>
          <w:szCs w:val="24"/>
          <w:lang w:val="de-DE"/>
        </w:rPr>
        <w:t xml:space="preserve"> und bankier.pl.</w:t>
      </w:r>
      <w:r w:rsidR="00BF7A8E" w:rsidRPr="00720EB1">
        <w:rPr>
          <w:rFonts w:cstheme="minorHAnsi"/>
          <w:sz w:val="24"/>
          <w:szCs w:val="24"/>
          <w:lang w:val="de-DE"/>
        </w:rPr>
        <w:t xml:space="preserve"> </w:t>
      </w:r>
      <w:r w:rsidRPr="00720EB1">
        <w:rPr>
          <w:rFonts w:cstheme="minorHAnsi"/>
          <w:sz w:val="24"/>
          <w:szCs w:val="24"/>
          <w:lang w:val="de-DE"/>
        </w:rPr>
        <w:t xml:space="preserve">Die Verbraucherinsolvenz wir in Form von Balkendiagramm </w:t>
      </w:r>
      <w:r w:rsidRPr="00720EB1">
        <w:rPr>
          <w:rFonts w:cstheme="minorHAnsi"/>
          <w:sz w:val="24"/>
          <w:szCs w:val="24"/>
          <w:lang w:val="de-DE"/>
        </w:rPr>
        <w:lastRenderedPageBreak/>
        <w:t>dargestellt.</w:t>
      </w:r>
      <w:r w:rsidR="00BF7A8E" w:rsidRPr="00720EB1">
        <w:rPr>
          <w:rFonts w:cstheme="minorHAnsi"/>
          <w:sz w:val="24"/>
          <w:szCs w:val="24"/>
          <w:lang w:val="de-DE"/>
        </w:rPr>
        <w:t xml:space="preserve"> </w:t>
      </w:r>
      <w:r w:rsidRPr="00720EB1">
        <w:rPr>
          <w:rFonts w:cstheme="minorHAnsi"/>
          <w:sz w:val="24"/>
          <w:szCs w:val="24"/>
          <w:lang w:val="de-DE"/>
        </w:rPr>
        <w:t xml:space="preserve">In jedem Zeitraum gibt es immer zwei Daten. Hellblau ist </w:t>
      </w:r>
      <w:proofErr w:type="spellStart"/>
      <w:r w:rsidRPr="00720EB1">
        <w:rPr>
          <w:rFonts w:cstheme="minorHAnsi"/>
          <w:sz w:val="24"/>
          <w:szCs w:val="24"/>
          <w:lang w:val="de-DE"/>
        </w:rPr>
        <w:t>fur</w:t>
      </w:r>
      <w:proofErr w:type="spellEnd"/>
      <w:r w:rsidRPr="00720EB1">
        <w:rPr>
          <w:rFonts w:cstheme="minorHAnsi"/>
          <w:sz w:val="24"/>
          <w:szCs w:val="24"/>
          <w:lang w:val="de-DE"/>
        </w:rPr>
        <w:t xml:space="preserve"> die Verbraucherinsolvenz in Deutschland und dunkelblau ist </w:t>
      </w:r>
      <w:proofErr w:type="spellStart"/>
      <w:r w:rsidRPr="00720EB1">
        <w:rPr>
          <w:rFonts w:cstheme="minorHAnsi"/>
          <w:sz w:val="24"/>
          <w:szCs w:val="24"/>
          <w:lang w:val="de-DE"/>
        </w:rPr>
        <w:t>fur</w:t>
      </w:r>
      <w:proofErr w:type="spellEnd"/>
      <w:r w:rsidRPr="00720EB1">
        <w:rPr>
          <w:rFonts w:cstheme="minorHAnsi"/>
          <w:sz w:val="24"/>
          <w:szCs w:val="24"/>
          <w:lang w:val="de-DE"/>
        </w:rPr>
        <w:t xml:space="preserve"> in Polen.</w:t>
      </w:r>
      <w:r w:rsidR="00BF7A8E" w:rsidRPr="00720EB1">
        <w:rPr>
          <w:rFonts w:cstheme="minorHAnsi"/>
          <w:sz w:val="24"/>
          <w:szCs w:val="24"/>
          <w:lang w:val="de-DE"/>
        </w:rPr>
        <w:t xml:space="preserve"> </w:t>
      </w:r>
      <w:r w:rsidRPr="00720EB1">
        <w:rPr>
          <w:rFonts w:cstheme="minorHAnsi"/>
          <w:sz w:val="24"/>
          <w:szCs w:val="24"/>
          <w:lang w:val="de-DE"/>
        </w:rPr>
        <w:t>In jedem der analysierten Jahre wurden in Deutschland deutlich mehr Verbraucherinsolvenzen angemeldet als in Polen.</w:t>
      </w:r>
      <w:r w:rsidR="00BF7A8E" w:rsidRPr="00720EB1">
        <w:rPr>
          <w:rFonts w:cstheme="minorHAnsi"/>
          <w:sz w:val="24"/>
          <w:szCs w:val="24"/>
          <w:lang w:val="de-DE"/>
        </w:rPr>
        <w:t xml:space="preserve"> </w:t>
      </w:r>
      <w:r w:rsidRPr="00720EB1">
        <w:rPr>
          <w:rFonts w:cstheme="minorHAnsi"/>
          <w:sz w:val="24"/>
          <w:szCs w:val="24"/>
          <w:lang w:val="de-DE"/>
        </w:rPr>
        <w:t>Sowohl in Polen als auch in Deutschland wurden 2021 die meisten Verbraucherinsolvenzen bekannt gegeben.</w:t>
      </w:r>
      <w:r w:rsidR="00BF7A8E" w:rsidRPr="00720EB1">
        <w:rPr>
          <w:rFonts w:cstheme="minorHAnsi"/>
          <w:sz w:val="24"/>
          <w:szCs w:val="24"/>
          <w:lang w:val="de-DE"/>
        </w:rPr>
        <w:t xml:space="preserve"> </w:t>
      </w:r>
      <w:r w:rsidR="004720EE" w:rsidRPr="00BF7A8E">
        <w:rPr>
          <w:rFonts w:cstheme="minorHAnsi"/>
          <w:sz w:val="24"/>
          <w:szCs w:val="24"/>
        </w:rPr>
        <w:t xml:space="preserve">In </w:t>
      </w:r>
      <w:proofErr w:type="spellStart"/>
      <w:r w:rsidR="004720EE" w:rsidRPr="00BF7A8E">
        <w:rPr>
          <w:rFonts w:cstheme="minorHAnsi"/>
          <w:sz w:val="24"/>
          <w:szCs w:val="24"/>
        </w:rPr>
        <w:t>Deutschland</w:t>
      </w:r>
      <w:proofErr w:type="spellEnd"/>
      <w:r w:rsidR="004720EE" w:rsidRPr="00BF7A8E">
        <w:rPr>
          <w:rFonts w:cstheme="minorHAnsi"/>
          <w:sz w:val="24"/>
          <w:szCs w:val="24"/>
        </w:rPr>
        <w:t xml:space="preserve"> </w:t>
      </w:r>
      <w:proofErr w:type="spellStart"/>
      <w:r w:rsidR="004720EE" w:rsidRPr="00BF7A8E">
        <w:rPr>
          <w:rFonts w:cstheme="minorHAnsi"/>
          <w:sz w:val="24"/>
          <w:szCs w:val="24"/>
        </w:rPr>
        <w:t>waren</w:t>
      </w:r>
      <w:proofErr w:type="spellEnd"/>
      <w:r w:rsidR="004720EE" w:rsidRPr="00BF7A8E">
        <w:rPr>
          <w:rFonts w:cstheme="minorHAnsi"/>
          <w:sz w:val="24"/>
          <w:szCs w:val="24"/>
        </w:rPr>
        <w:t xml:space="preserve"> es </w:t>
      </w:r>
      <w:proofErr w:type="spellStart"/>
      <w:r w:rsidR="004720EE" w:rsidRPr="00BF7A8E">
        <w:rPr>
          <w:rFonts w:cstheme="minorHAnsi"/>
          <w:sz w:val="24"/>
          <w:szCs w:val="24"/>
        </w:rPr>
        <w:t>knapp</w:t>
      </w:r>
      <w:proofErr w:type="spellEnd"/>
      <w:r w:rsidR="004720EE" w:rsidRPr="00BF7A8E">
        <w:rPr>
          <w:rFonts w:cstheme="minorHAnsi"/>
          <w:sz w:val="24"/>
          <w:szCs w:val="24"/>
        </w:rPr>
        <w:t xml:space="preserve"> 79.000, in Polen 18.205.</w:t>
      </w:r>
      <w:r w:rsidR="004919BD" w:rsidRPr="00BF7A8E">
        <w:rPr>
          <w:rFonts w:cstheme="minorHAnsi"/>
          <w:sz w:val="24"/>
          <w:szCs w:val="24"/>
        </w:rPr>
        <w:t xml:space="preserve"> </w:t>
      </w:r>
    </w:p>
    <w:p w14:paraId="601FC776" w14:textId="79D04C1C" w:rsidR="00D74849" w:rsidRPr="00D74849" w:rsidRDefault="00D74849" w:rsidP="00693B36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D74849">
        <w:rPr>
          <w:rFonts w:cstheme="minorHAnsi"/>
          <w:sz w:val="24"/>
          <w:szCs w:val="24"/>
          <w:shd w:val="clear" w:color="auto" w:fill="FFFFFF"/>
          <w:lang w:val="de-DE"/>
        </w:rPr>
        <w:t>Hier sind die Quellen, aus denen ich meine Informationen habe.</w:t>
      </w:r>
    </w:p>
    <w:p w14:paraId="21B0E88C" w14:textId="1EE7A0F1" w:rsidR="00D74849" w:rsidRPr="008361E1" w:rsidRDefault="00D74849" w:rsidP="00693B36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D74849">
        <w:rPr>
          <w:rFonts w:cstheme="minorHAnsi"/>
          <w:sz w:val="24"/>
          <w:szCs w:val="24"/>
          <w:shd w:val="clear" w:color="auto" w:fill="FFFFFF"/>
          <w:lang w:val="de-DE"/>
        </w:rPr>
        <w:t>Ich hoffe, dass Sie durch meine Präsentation etwas Neues erfahren haben. Vielen Dank für Ihre Aufmerksamkeit.</w:t>
      </w:r>
    </w:p>
    <w:p w14:paraId="6A958880" w14:textId="7AA61D24" w:rsidR="00D74849" w:rsidRPr="008361E1" w:rsidRDefault="00D74849" w:rsidP="008361E1">
      <w:pPr>
        <w:spacing w:after="0" w:line="36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4849" w14:paraId="57D33C10" w14:textId="77777777" w:rsidTr="00D74849">
        <w:tc>
          <w:tcPr>
            <w:tcW w:w="4531" w:type="dxa"/>
          </w:tcPr>
          <w:p w14:paraId="51B8D63A" w14:textId="77777777" w:rsidR="00D74849" w:rsidRPr="008361E1" w:rsidRDefault="00D74849" w:rsidP="00D7484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61E1">
              <w:rPr>
                <w:b/>
                <w:bCs/>
                <w:sz w:val="24"/>
                <w:szCs w:val="24"/>
              </w:rPr>
              <w:t>die</w:t>
            </w:r>
            <w:proofErr w:type="spellEnd"/>
            <w:r w:rsidRPr="008361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61E1">
              <w:rPr>
                <w:b/>
                <w:bCs/>
                <w:sz w:val="24"/>
                <w:szCs w:val="24"/>
              </w:rPr>
              <w:t>Verbraucherinsolvenz</w:t>
            </w:r>
            <w:proofErr w:type="spellEnd"/>
            <w:r w:rsidRPr="008361E1">
              <w:rPr>
                <w:sz w:val="24"/>
                <w:szCs w:val="24"/>
              </w:rPr>
              <w:t xml:space="preserve"> – upadłość konsumencka</w:t>
            </w:r>
          </w:p>
          <w:p w14:paraId="3AFF5B7E" w14:textId="77777777" w:rsidR="00D74849" w:rsidRPr="008361E1" w:rsidRDefault="00D74849" w:rsidP="00D74849">
            <w:pPr>
              <w:spacing w:line="360" w:lineRule="auto"/>
              <w:rPr>
                <w:sz w:val="24"/>
                <w:szCs w:val="24"/>
              </w:rPr>
            </w:pPr>
            <w:r w:rsidRPr="008361E1">
              <w:rPr>
                <w:b/>
                <w:bCs/>
                <w:sz w:val="24"/>
                <w:szCs w:val="24"/>
              </w:rPr>
              <w:t xml:space="preserve">der </w:t>
            </w:r>
            <w:proofErr w:type="spellStart"/>
            <w:r w:rsidRPr="008361E1">
              <w:rPr>
                <w:b/>
                <w:bCs/>
                <w:sz w:val="24"/>
                <w:szCs w:val="24"/>
              </w:rPr>
              <w:t>Abriss</w:t>
            </w:r>
            <w:proofErr w:type="spellEnd"/>
            <w:r w:rsidRPr="008361E1">
              <w:rPr>
                <w:b/>
                <w:bCs/>
                <w:sz w:val="24"/>
                <w:szCs w:val="24"/>
              </w:rPr>
              <w:t xml:space="preserve"> </w:t>
            </w:r>
            <w:r w:rsidRPr="008361E1">
              <w:rPr>
                <w:sz w:val="24"/>
                <w:szCs w:val="24"/>
              </w:rPr>
              <w:t>– zarys</w:t>
            </w:r>
          </w:p>
          <w:p w14:paraId="7165C43E" w14:textId="77777777" w:rsidR="00D74849" w:rsidRPr="008361E1" w:rsidRDefault="00D74849" w:rsidP="00D74849">
            <w:pPr>
              <w:spacing w:line="360" w:lineRule="auto"/>
              <w:rPr>
                <w:sz w:val="24"/>
                <w:szCs w:val="24"/>
              </w:rPr>
            </w:pPr>
            <w:r w:rsidRPr="008361E1">
              <w:rPr>
                <w:b/>
                <w:bCs/>
                <w:sz w:val="24"/>
                <w:szCs w:val="24"/>
              </w:rPr>
              <w:t xml:space="preserve">der </w:t>
            </w:r>
            <w:proofErr w:type="spellStart"/>
            <w:r w:rsidRPr="008361E1">
              <w:rPr>
                <w:b/>
                <w:bCs/>
                <w:sz w:val="24"/>
                <w:szCs w:val="24"/>
              </w:rPr>
              <w:t>Antrag</w:t>
            </w:r>
            <w:proofErr w:type="spellEnd"/>
            <w:r w:rsidRPr="008361E1">
              <w:rPr>
                <w:b/>
                <w:bCs/>
                <w:sz w:val="24"/>
                <w:szCs w:val="24"/>
              </w:rPr>
              <w:t xml:space="preserve"> </w:t>
            </w:r>
            <w:r w:rsidRPr="008361E1">
              <w:rPr>
                <w:sz w:val="24"/>
                <w:szCs w:val="24"/>
              </w:rPr>
              <w:t>– wniosek</w:t>
            </w:r>
          </w:p>
          <w:p w14:paraId="682665B3" w14:textId="77777777" w:rsidR="00D74849" w:rsidRPr="008361E1" w:rsidRDefault="00D74849" w:rsidP="00D7484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61E1">
              <w:rPr>
                <w:b/>
                <w:bCs/>
                <w:sz w:val="24"/>
                <w:szCs w:val="24"/>
              </w:rPr>
              <w:t>vereinfacht</w:t>
            </w:r>
            <w:proofErr w:type="spellEnd"/>
            <w:r w:rsidRPr="008361E1">
              <w:rPr>
                <w:sz w:val="24"/>
                <w:szCs w:val="24"/>
              </w:rPr>
              <w:t xml:space="preserve"> – uproszczony</w:t>
            </w:r>
          </w:p>
          <w:p w14:paraId="24186284" w14:textId="77777777" w:rsidR="00D74849" w:rsidRPr="008361E1" w:rsidRDefault="00D74849" w:rsidP="00D74849">
            <w:pPr>
              <w:spacing w:line="360" w:lineRule="auto"/>
              <w:rPr>
                <w:rFonts w:cstheme="minorHAnsi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8361E1">
              <w:rPr>
                <w:b/>
                <w:bCs/>
                <w:sz w:val="24"/>
                <w:szCs w:val="24"/>
              </w:rPr>
              <w:t>das</w:t>
            </w:r>
            <w:proofErr w:type="spellEnd"/>
            <w:r w:rsidRPr="008361E1">
              <w:rPr>
                <w:b/>
                <w:bCs/>
                <w:sz w:val="24"/>
                <w:szCs w:val="24"/>
              </w:rPr>
              <w:t xml:space="preserve"> </w:t>
            </w:r>
            <w:r w:rsidRPr="008361E1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  <w:lang w:val="de-DE"/>
              </w:rPr>
              <w:t xml:space="preserve">Insolvenzverfahren </w:t>
            </w:r>
            <w:r w:rsidRPr="008361E1">
              <w:rPr>
                <w:rFonts w:cstheme="minorHAnsi"/>
                <w:sz w:val="24"/>
                <w:szCs w:val="24"/>
                <w:shd w:val="clear" w:color="auto" w:fill="FFFFFF"/>
                <w:lang w:val="de-DE"/>
              </w:rPr>
              <w:t xml:space="preserve">– </w:t>
            </w:r>
            <w:proofErr w:type="spellStart"/>
            <w:r w:rsidRPr="008361E1">
              <w:rPr>
                <w:rFonts w:cstheme="minorHAnsi"/>
                <w:sz w:val="24"/>
                <w:szCs w:val="24"/>
                <w:shd w:val="clear" w:color="auto" w:fill="FFFFFF"/>
                <w:lang w:val="de-DE"/>
              </w:rPr>
              <w:t>postępowanie</w:t>
            </w:r>
            <w:proofErr w:type="spellEnd"/>
            <w:r w:rsidRPr="008361E1">
              <w:rPr>
                <w:rFonts w:cstheme="minorHAns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361E1">
              <w:rPr>
                <w:rFonts w:cstheme="minorHAnsi"/>
                <w:sz w:val="24"/>
                <w:szCs w:val="24"/>
                <w:shd w:val="clear" w:color="auto" w:fill="FFFFFF"/>
                <w:lang w:val="de-DE"/>
              </w:rPr>
              <w:t>upadłościowe</w:t>
            </w:r>
            <w:proofErr w:type="spellEnd"/>
          </w:p>
          <w:p w14:paraId="5688174D" w14:textId="77777777" w:rsidR="00D74849" w:rsidRPr="008361E1" w:rsidRDefault="00D74849" w:rsidP="00D7484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61E1">
              <w:rPr>
                <w:b/>
                <w:bCs/>
                <w:sz w:val="24"/>
                <w:szCs w:val="24"/>
              </w:rPr>
              <w:t>das</w:t>
            </w:r>
            <w:proofErr w:type="spellEnd"/>
            <w:r w:rsidRPr="008361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61E1">
              <w:rPr>
                <w:b/>
                <w:bCs/>
                <w:sz w:val="24"/>
                <w:szCs w:val="24"/>
              </w:rPr>
              <w:t>Ziel</w:t>
            </w:r>
            <w:proofErr w:type="spellEnd"/>
            <w:r w:rsidRPr="008361E1">
              <w:rPr>
                <w:b/>
                <w:bCs/>
                <w:sz w:val="24"/>
                <w:szCs w:val="24"/>
              </w:rPr>
              <w:t xml:space="preserve"> </w:t>
            </w:r>
            <w:r w:rsidRPr="008361E1">
              <w:rPr>
                <w:sz w:val="24"/>
                <w:szCs w:val="24"/>
              </w:rPr>
              <w:t>– cel</w:t>
            </w:r>
          </w:p>
          <w:p w14:paraId="1F39794F" w14:textId="2ECD7209" w:rsidR="00D74849" w:rsidRPr="008361E1" w:rsidRDefault="00D74849" w:rsidP="00D7484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61E1">
              <w:rPr>
                <w:b/>
                <w:bCs/>
                <w:sz w:val="24"/>
                <w:szCs w:val="24"/>
              </w:rPr>
              <w:t>die</w:t>
            </w:r>
            <w:proofErr w:type="spellEnd"/>
            <w:r w:rsidRPr="008361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61E1">
              <w:rPr>
                <w:b/>
                <w:bCs/>
                <w:sz w:val="24"/>
                <w:szCs w:val="24"/>
              </w:rPr>
              <w:t>Schuld</w:t>
            </w:r>
            <w:proofErr w:type="spellEnd"/>
            <w:r w:rsidRPr="008361E1">
              <w:rPr>
                <w:b/>
                <w:bCs/>
                <w:sz w:val="24"/>
                <w:szCs w:val="24"/>
              </w:rPr>
              <w:t xml:space="preserve"> </w:t>
            </w:r>
            <w:r w:rsidRPr="008361E1">
              <w:rPr>
                <w:sz w:val="24"/>
                <w:szCs w:val="24"/>
              </w:rPr>
              <w:t>– dług, zobowiązanie</w:t>
            </w:r>
            <w:r w:rsidRPr="008361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61E1">
              <w:rPr>
                <w:b/>
                <w:bCs/>
                <w:sz w:val="24"/>
                <w:szCs w:val="24"/>
              </w:rPr>
              <w:t>ankündigen</w:t>
            </w:r>
            <w:proofErr w:type="spellEnd"/>
            <w:r w:rsidRPr="008361E1">
              <w:rPr>
                <w:sz w:val="24"/>
                <w:szCs w:val="24"/>
              </w:rPr>
              <w:t xml:space="preserve"> – ogłosić</w:t>
            </w:r>
          </w:p>
          <w:p w14:paraId="7AEF80BF" w14:textId="01BF6E85" w:rsidR="00D74849" w:rsidRPr="008361E1" w:rsidRDefault="00D74849" w:rsidP="00D74849">
            <w:pPr>
              <w:spacing w:line="360" w:lineRule="auto"/>
              <w:rPr>
                <w:rFonts w:cstheme="minorHAnsi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8361E1">
              <w:rPr>
                <w:b/>
                <w:bCs/>
                <w:sz w:val="24"/>
                <w:szCs w:val="24"/>
              </w:rPr>
              <w:t>die</w:t>
            </w:r>
            <w:proofErr w:type="spellEnd"/>
            <w:r w:rsidRPr="008361E1">
              <w:rPr>
                <w:b/>
                <w:bCs/>
                <w:sz w:val="24"/>
                <w:szCs w:val="24"/>
              </w:rPr>
              <w:t xml:space="preserve"> </w:t>
            </w:r>
            <w:r w:rsidRPr="008361E1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  <w:lang w:val="de-DE"/>
              </w:rPr>
              <w:t xml:space="preserve">Vorschrift </w:t>
            </w:r>
            <w:r w:rsidRPr="008361E1">
              <w:rPr>
                <w:rFonts w:cstheme="minorHAnsi"/>
                <w:sz w:val="24"/>
                <w:szCs w:val="24"/>
                <w:shd w:val="clear" w:color="auto" w:fill="FFFFFF"/>
                <w:lang w:val="de-DE"/>
              </w:rPr>
              <w:t xml:space="preserve">– </w:t>
            </w:r>
            <w:proofErr w:type="spellStart"/>
            <w:r w:rsidRPr="008361E1">
              <w:rPr>
                <w:rFonts w:cstheme="minorHAnsi"/>
                <w:sz w:val="24"/>
                <w:szCs w:val="24"/>
                <w:shd w:val="clear" w:color="auto" w:fill="FFFFFF"/>
                <w:lang w:val="de-DE"/>
              </w:rPr>
              <w:t>przepis</w:t>
            </w:r>
            <w:proofErr w:type="spellEnd"/>
            <w:r w:rsidR="003E6BD8">
              <w:rPr>
                <w:rFonts w:cstheme="minorHAnsi"/>
                <w:sz w:val="24"/>
                <w:szCs w:val="24"/>
                <w:shd w:val="clear" w:color="auto" w:fill="FFFFFF"/>
                <w:lang w:val="de-DE"/>
              </w:rPr>
              <w:t xml:space="preserve"> (</w:t>
            </w:r>
            <w:proofErr w:type="spellStart"/>
            <w:r w:rsidR="003E6BD8">
              <w:rPr>
                <w:rFonts w:cstheme="minorHAnsi"/>
                <w:sz w:val="24"/>
                <w:szCs w:val="24"/>
                <w:shd w:val="clear" w:color="auto" w:fill="FFFFFF"/>
                <w:lang w:val="de-DE"/>
              </w:rPr>
              <w:t>prawa</w:t>
            </w:r>
            <w:proofErr w:type="spellEnd"/>
            <w:r w:rsidR="003E6BD8">
              <w:rPr>
                <w:rFonts w:cstheme="minorHAnsi"/>
                <w:sz w:val="24"/>
                <w:szCs w:val="24"/>
                <w:shd w:val="clear" w:color="auto" w:fill="FFFFFF"/>
                <w:lang w:val="de-DE"/>
              </w:rPr>
              <w:t>)</w:t>
            </w:r>
          </w:p>
          <w:p w14:paraId="512B104E" w14:textId="77777777" w:rsidR="00D74849" w:rsidRPr="008361E1" w:rsidRDefault="00D74849" w:rsidP="00D7484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61E1">
              <w:rPr>
                <w:b/>
                <w:bCs/>
                <w:sz w:val="24"/>
                <w:szCs w:val="24"/>
              </w:rPr>
              <w:t>derzeit</w:t>
            </w:r>
            <w:proofErr w:type="spellEnd"/>
            <w:r w:rsidRPr="008361E1">
              <w:rPr>
                <w:b/>
                <w:bCs/>
                <w:sz w:val="24"/>
                <w:szCs w:val="24"/>
              </w:rPr>
              <w:t xml:space="preserve"> </w:t>
            </w:r>
            <w:r w:rsidRPr="008361E1">
              <w:rPr>
                <w:sz w:val="24"/>
                <w:szCs w:val="24"/>
              </w:rPr>
              <w:t>– obecnie</w:t>
            </w:r>
          </w:p>
          <w:p w14:paraId="7C1D4FFB" w14:textId="77777777" w:rsidR="00D74849" w:rsidRPr="008361E1" w:rsidRDefault="00D74849" w:rsidP="00D74849">
            <w:pPr>
              <w:spacing w:line="360" w:lineRule="auto"/>
              <w:rPr>
                <w:sz w:val="24"/>
                <w:szCs w:val="24"/>
              </w:rPr>
            </w:pPr>
            <w:r w:rsidRPr="008361E1">
              <w:rPr>
                <w:b/>
                <w:bCs/>
                <w:sz w:val="24"/>
                <w:szCs w:val="24"/>
              </w:rPr>
              <w:t xml:space="preserve">der </w:t>
            </w:r>
            <w:proofErr w:type="spellStart"/>
            <w:r w:rsidRPr="008361E1">
              <w:rPr>
                <w:rFonts w:cstheme="minorHAnsi"/>
                <w:b/>
                <w:bCs/>
                <w:sz w:val="24"/>
                <w:szCs w:val="24"/>
              </w:rPr>
              <w:t>Bezieher</w:t>
            </w:r>
            <w:proofErr w:type="spellEnd"/>
            <w:r w:rsidRPr="008361E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361E1">
              <w:rPr>
                <w:rFonts w:cstheme="minorHAnsi"/>
                <w:sz w:val="24"/>
                <w:szCs w:val="24"/>
              </w:rPr>
              <w:t>- pobierający</w:t>
            </w:r>
          </w:p>
          <w:p w14:paraId="21402BDD" w14:textId="6E3553C7" w:rsidR="00D74849" w:rsidRDefault="00D74849" w:rsidP="00D7484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61E1">
              <w:rPr>
                <w:b/>
                <w:bCs/>
                <w:sz w:val="24"/>
                <w:szCs w:val="24"/>
              </w:rPr>
              <w:t>das</w:t>
            </w:r>
            <w:proofErr w:type="spellEnd"/>
            <w:r w:rsidRPr="008361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61E1">
              <w:rPr>
                <w:rFonts w:cstheme="minorHAnsi"/>
                <w:b/>
                <w:bCs/>
                <w:sz w:val="24"/>
                <w:szCs w:val="24"/>
              </w:rPr>
              <w:t>Arbeitslosen</w:t>
            </w:r>
            <w:r w:rsidRPr="008361E1">
              <w:rPr>
                <w:rFonts w:cstheme="minorHAnsi"/>
                <w:sz w:val="24"/>
                <w:szCs w:val="24"/>
              </w:rPr>
              <w:t>geld</w:t>
            </w:r>
            <w:proofErr w:type="spellEnd"/>
            <w:r w:rsidRPr="008361E1">
              <w:rPr>
                <w:rFonts w:cstheme="minorHAnsi"/>
                <w:sz w:val="24"/>
                <w:szCs w:val="24"/>
              </w:rPr>
              <w:t xml:space="preserve"> – zasiłek dla bezrobotnych</w:t>
            </w:r>
          </w:p>
        </w:tc>
        <w:tc>
          <w:tcPr>
            <w:tcW w:w="4531" w:type="dxa"/>
          </w:tcPr>
          <w:p w14:paraId="5274DD39" w14:textId="77777777" w:rsidR="00D74849" w:rsidRPr="008361E1" w:rsidRDefault="00D74849" w:rsidP="00D7484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361E1">
              <w:rPr>
                <w:b/>
                <w:bCs/>
                <w:sz w:val="24"/>
                <w:szCs w:val="24"/>
              </w:rPr>
              <w:t xml:space="preserve">der </w:t>
            </w:r>
            <w:proofErr w:type="spellStart"/>
            <w:r w:rsidRPr="008361E1">
              <w:rPr>
                <w:rFonts w:cstheme="minorHAnsi"/>
                <w:b/>
                <w:bCs/>
                <w:sz w:val="24"/>
                <w:szCs w:val="24"/>
              </w:rPr>
              <w:t>Gläubiger</w:t>
            </w:r>
            <w:proofErr w:type="spellEnd"/>
            <w:r w:rsidRPr="008361E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361E1">
              <w:rPr>
                <w:rFonts w:cstheme="minorHAnsi"/>
                <w:sz w:val="24"/>
                <w:szCs w:val="24"/>
              </w:rPr>
              <w:t>– wierzyciel</w:t>
            </w:r>
          </w:p>
          <w:p w14:paraId="69C32AD0" w14:textId="63672371" w:rsidR="00D74849" w:rsidRPr="008361E1" w:rsidRDefault="00D74849" w:rsidP="00D7484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20EB1">
              <w:rPr>
                <w:b/>
                <w:bCs/>
                <w:sz w:val="24"/>
                <w:szCs w:val="24"/>
                <w:highlight w:val="yellow"/>
              </w:rPr>
              <w:t>d</w:t>
            </w:r>
            <w:r w:rsidR="00720EB1" w:rsidRPr="00720EB1">
              <w:rPr>
                <w:b/>
                <w:bCs/>
                <w:sz w:val="24"/>
                <w:szCs w:val="24"/>
                <w:highlight w:val="yellow"/>
              </w:rPr>
              <w:t>ie</w:t>
            </w:r>
            <w:proofErr w:type="spellEnd"/>
            <w:r w:rsidRPr="00720EB1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20EB1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Arbeitnehmerverpflichtung</w:t>
            </w:r>
            <w:proofErr w:type="spellEnd"/>
            <w:r w:rsidRPr="008361E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361E1">
              <w:rPr>
                <w:rFonts w:cstheme="minorHAnsi"/>
                <w:sz w:val="24"/>
                <w:szCs w:val="24"/>
              </w:rPr>
              <w:t>– składka ubezpieczeniowa</w:t>
            </w:r>
          </w:p>
          <w:p w14:paraId="7F4E587B" w14:textId="77777777" w:rsidR="00D74849" w:rsidRPr="008361E1" w:rsidRDefault="00D74849" w:rsidP="00D7484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361E1">
              <w:rPr>
                <w:b/>
                <w:bCs/>
                <w:sz w:val="24"/>
                <w:szCs w:val="24"/>
              </w:rPr>
              <w:t xml:space="preserve">der </w:t>
            </w:r>
            <w:proofErr w:type="spellStart"/>
            <w:r w:rsidRPr="008361E1">
              <w:rPr>
                <w:rFonts w:cstheme="minorHAnsi"/>
                <w:b/>
                <w:bCs/>
                <w:sz w:val="24"/>
                <w:szCs w:val="24"/>
              </w:rPr>
              <w:t>Neuanfang</w:t>
            </w:r>
            <w:proofErr w:type="spellEnd"/>
            <w:r w:rsidRPr="008361E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361E1">
              <w:rPr>
                <w:rFonts w:cstheme="minorHAnsi"/>
                <w:sz w:val="24"/>
                <w:szCs w:val="24"/>
              </w:rPr>
              <w:t>– nowy początek</w:t>
            </w:r>
          </w:p>
          <w:p w14:paraId="7BA56E9A" w14:textId="77777777" w:rsidR="00D74849" w:rsidRPr="008361E1" w:rsidRDefault="00D74849" w:rsidP="00D7484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61E1">
              <w:rPr>
                <w:b/>
                <w:bCs/>
                <w:sz w:val="24"/>
                <w:szCs w:val="24"/>
              </w:rPr>
              <w:t>befreit</w:t>
            </w:r>
            <w:proofErr w:type="spellEnd"/>
            <w:r w:rsidRPr="008361E1">
              <w:rPr>
                <w:b/>
                <w:bCs/>
                <w:sz w:val="24"/>
                <w:szCs w:val="24"/>
              </w:rPr>
              <w:t xml:space="preserve"> </w:t>
            </w:r>
            <w:r w:rsidRPr="008361E1">
              <w:rPr>
                <w:sz w:val="24"/>
                <w:szCs w:val="24"/>
              </w:rPr>
              <w:t>– uwolniony</w:t>
            </w:r>
          </w:p>
          <w:p w14:paraId="1490F6F8" w14:textId="77777777" w:rsidR="00D74849" w:rsidRPr="008361E1" w:rsidRDefault="00D74849" w:rsidP="00D7484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8361E1">
              <w:rPr>
                <w:b/>
                <w:bCs/>
                <w:sz w:val="24"/>
                <w:szCs w:val="24"/>
              </w:rPr>
              <w:t>die</w:t>
            </w:r>
            <w:proofErr w:type="spellEnd"/>
            <w:r w:rsidRPr="008361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61E1">
              <w:rPr>
                <w:rFonts w:cstheme="minorHAnsi"/>
                <w:b/>
                <w:bCs/>
                <w:sz w:val="24"/>
                <w:szCs w:val="24"/>
              </w:rPr>
              <w:t>Feststellung</w:t>
            </w:r>
            <w:proofErr w:type="spellEnd"/>
            <w:r w:rsidRPr="008361E1">
              <w:rPr>
                <w:rFonts w:cstheme="minorHAnsi"/>
                <w:sz w:val="24"/>
                <w:szCs w:val="24"/>
              </w:rPr>
              <w:t xml:space="preserve"> – stwierdzenie</w:t>
            </w:r>
          </w:p>
          <w:p w14:paraId="185F46A9" w14:textId="77777777" w:rsidR="00D74849" w:rsidRPr="008361E1" w:rsidRDefault="00D74849" w:rsidP="00D7484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8361E1">
              <w:rPr>
                <w:rFonts w:cstheme="minorHAnsi"/>
                <w:b/>
                <w:bCs/>
                <w:sz w:val="24"/>
                <w:szCs w:val="24"/>
              </w:rPr>
              <w:t>das</w:t>
            </w:r>
            <w:proofErr w:type="spellEnd"/>
            <w:r w:rsidRPr="008361E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61E1">
              <w:rPr>
                <w:rFonts w:cstheme="minorHAnsi"/>
                <w:b/>
                <w:bCs/>
                <w:sz w:val="24"/>
                <w:szCs w:val="24"/>
              </w:rPr>
              <w:t>Gericht</w:t>
            </w:r>
            <w:proofErr w:type="spellEnd"/>
            <w:r w:rsidRPr="008361E1">
              <w:rPr>
                <w:rFonts w:cstheme="minorHAnsi"/>
                <w:sz w:val="24"/>
                <w:szCs w:val="24"/>
              </w:rPr>
              <w:t xml:space="preserve"> – sąd</w:t>
            </w:r>
          </w:p>
          <w:p w14:paraId="1A268E93" w14:textId="77777777" w:rsidR="00D74849" w:rsidRPr="008361E1" w:rsidRDefault="00D74849" w:rsidP="00D7484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361E1">
              <w:rPr>
                <w:rFonts w:cstheme="minorHAnsi"/>
                <w:b/>
                <w:bCs/>
                <w:sz w:val="24"/>
                <w:szCs w:val="24"/>
              </w:rPr>
              <w:t xml:space="preserve">der </w:t>
            </w:r>
            <w:proofErr w:type="spellStart"/>
            <w:r w:rsidRPr="008361E1">
              <w:rPr>
                <w:rFonts w:cstheme="minorHAnsi"/>
                <w:b/>
                <w:bCs/>
                <w:sz w:val="24"/>
                <w:szCs w:val="24"/>
              </w:rPr>
              <w:t>Gerichtsvollzieher</w:t>
            </w:r>
            <w:proofErr w:type="spellEnd"/>
            <w:r w:rsidRPr="008361E1">
              <w:rPr>
                <w:rFonts w:cstheme="minorHAnsi"/>
                <w:sz w:val="24"/>
                <w:szCs w:val="24"/>
              </w:rPr>
              <w:t xml:space="preserve"> – komornik</w:t>
            </w:r>
          </w:p>
          <w:p w14:paraId="54385453" w14:textId="4735C058" w:rsidR="00D74849" w:rsidRPr="008361E1" w:rsidRDefault="00720EB1" w:rsidP="00D7484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der </w:t>
            </w:r>
            <w:proofErr w:type="spellStart"/>
            <w:r w:rsidR="00D74849" w:rsidRPr="008361E1">
              <w:rPr>
                <w:rFonts w:cstheme="minorHAnsi"/>
                <w:b/>
                <w:bCs/>
                <w:sz w:val="24"/>
                <w:szCs w:val="24"/>
              </w:rPr>
              <w:t>Mangel</w:t>
            </w:r>
            <w:proofErr w:type="spellEnd"/>
            <w:r w:rsidR="00D74849" w:rsidRPr="008361E1">
              <w:rPr>
                <w:rFonts w:cstheme="minorHAnsi"/>
                <w:sz w:val="24"/>
                <w:szCs w:val="24"/>
              </w:rPr>
              <w:t xml:space="preserve"> – brak</w:t>
            </w:r>
          </w:p>
          <w:p w14:paraId="1007D377" w14:textId="77777777" w:rsidR="00D74849" w:rsidRPr="008361E1" w:rsidRDefault="00D74849" w:rsidP="00D7484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8361E1">
              <w:rPr>
                <w:rFonts w:cstheme="minorHAnsi"/>
                <w:b/>
                <w:bCs/>
                <w:sz w:val="24"/>
                <w:szCs w:val="24"/>
              </w:rPr>
              <w:t>die</w:t>
            </w:r>
            <w:proofErr w:type="spellEnd"/>
            <w:r w:rsidRPr="008361E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61E1">
              <w:rPr>
                <w:rFonts w:cstheme="minorHAnsi"/>
                <w:b/>
                <w:bCs/>
                <w:sz w:val="24"/>
                <w:szCs w:val="24"/>
              </w:rPr>
              <w:t>Pfändung</w:t>
            </w:r>
            <w:proofErr w:type="spellEnd"/>
            <w:r w:rsidRPr="008361E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361E1">
              <w:rPr>
                <w:rFonts w:cstheme="minorHAnsi"/>
                <w:sz w:val="24"/>
                <w:szCs w:val="24"/>
              </w:rPr>
              <w:t>– zajęcie (np. dochodów)</w:t>
            </w:r>
          </w:p>
          <w:p w14:paraId="17483182" w14:textId="77777777" w:rsidR="00D74849" w:rsidRPr="008361E1" w:rsidRDefault="00D74849" w:rsidP="00D7484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361E1">
              <w:rPr>
                <w:rFonts w:cstheme="minorHAnsi"/>
                <w:b/>
                <w:bCs/>
                <w:sz w:val="24"/>
                <w:szCs w:val="24"/>
              </w:rPr>
              <w:t xml:space="preserve">der </w:t>
            </w:r>
            <w:proofErr w:type="spellStart"/>
            <w:r w:rsidRPr="008361E1">
              <w:rPr>
                <w:rFonts w:cstheme="minorHAnsi"/>
                <w:b/>
                <w:bCs/>
                <w:sz w:val="24"/>
                <w:szCs w:val="24"/>
              </w:rPr>
              <w:t>Wohnungswechsel</w:t>
            </w:r>
            <w:proofErr w:type="spellEnd"/>
            <w:r w:rsidRPr="008361E1">
              <w:rPr>
                <w:rFonts w:cstheme="minorHAnsi"/>
                <w:sz w:val="24"/>
                <w:szCs w:val="24"/>
              </w:rPr>
              <w:t xml:space="preserve"> – zmiana miejsca zamieszkania</w:t>
            </w:r>
          </w:p>
          <w:p w14:paraId="47A00152" w14:textId="77777777" w:rsidR="00D74849" w:rsidRPr="008361E1" w:rsidRDefault="00D74849" w:rsidP="00D7484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8361E1">
              <w:rPr>
                <w:rFonts w:cstheme="minorHAnsi"/>
                <w:b/>
                <w:bCs/>
                <w:sz w:val="24"/>
                <w:szCs w:val="24"/>
              </w:rPr>
              <w:t>darstellen</w:t>
            </w:r>
            <w:proofErr w:type="spellEnd"/>
            <w:r w:rsidRPr="008361E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361E1">
              <w:rPr>
                <w:rFonts w:cstheme="minorHAnsi"/>
                <w:sz w:val="24"/>
                <w:szCs w:val="24"/>
              </w:rPr>
              <w:t>– przedstawiać, obrazować</w:t>
            </w:r>
          </w:p>
          <w:p w14:paraId="35DF6FDD" w14:textId="77777777" w:rsidR="00D74849" w:rsidRDefault="00D74849" w:rsidP="008361E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4FFCBEF" w14:textId="6171ECC7" w:rsidR="008361E1" w:rsidRPr="008361E1" w:rsidRDefault="008361E1" w:rsidP="008361E1">
      <w:pPr>
        <w:spacing w:after="0" w:line="360" w:lineRule="auto"/>
        <w:rPr>
          <w:sz w:val="24"/>
          <w:szCs w:val="24"/>
        </w:rPr>
      </w:pPr>
    </w:p>
    <w:p w14:paraId="1A9C91CC" w14:textId="77777777" w:rsidR="00D74849" w:rsidRPr="008361E1" w:rsidRDefault="00D74849">
      <w:pPr>
        <w:spacing w:line="360" w:lineRule="auto"/>
        <w:rPr>
          <w:rFonts w:cstheme="minorHAnsi"/>
          <w:sz w:val="24"/>
          <w:szCs w:val="24"/>
        </w:rPr>
      </w:pPr>
    </w:p>
    <w:sectPr w:rsidR="00D74849" w:rsidRPr="0083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60C8"/>
    <w:multiLevelType w:val="hybridMultilevel"/>
    <w:tmpl w:val="566AA874"/>
    <w:lvl w:ilvl="0" w:tplc="064AC1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7E462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486F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0DCF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00D6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747F9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ECB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F01B8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AA326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10489"/>
    <w:multiLevelType w:val="hybridMultilevel"/>
    <w:tmpl w:val="637627AA"/>
    <w:lvl w:ilvl="0" w:tplc="0364558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274869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4BC826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DD6E19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3D4025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5ACDF0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41E320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81427D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F9E1F1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63ED4702"/>
    <w:multiLevelType w:val="hybridMultilevel"/>
    <w:tmpl w:val="CB1A3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A74DD"/>
    <w:multiLevelType w:val="hybridMultilevel"/>
    <w:tmpl w:val="08840ECE"/>
    <w:lvl w:ilvl="0" w:tplc="425659EA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1458002">
    <w:abstractNumId w:val="1"/>
  </w:num>
  <w:num w:numId="2" w16cid:durableId="71977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6648685">
    <w:abstractNumId w:val="2"/>
  </w:num>
  <w:num w:numId="4" w16cid:durableId="5721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72"/>
    <w:rsid w:val="001175AA"/>
    <w:rsid w:val="00150D27"/>
    <w:rsid w:val="001543B3"/>
    <w:rsid w:val="001D6A72"/>
    <w:rsid w:val="0022379E"/>
    <w:rsid w:val="003E0D29"/>
    <w:rsid w:val="003E6BD8"/>
    <w:rsid w:val="004720EE"/>
    <w:rsid w:val="004919BD"/>
    <w:rsid w:val="004A0879"/>
    <w:rsid w:val="004B7346"/>
    <w:rsid w:val="00693B36"/>
    <w:rsid w:val="006D0972"/>
    <w:rsid w:val="00716DD7"/>
    <w:rsid w:val="00720EB1"/>
    <w:rsid w:val="0082511A"/>
    <w:rsid w:val="008361E1"/>
    <w:rsid w:val="00934815"/>
    <w:rsid w:val="00966958"/>
    <w:rsid w:val="009C4991"/>
    <w:rsid w:val="00A736CB"/>
    <w:rsid w:val="00AB5E85"/>
    <w:rsid w:val="00AC653D"/>
    <w:rsid w:val="00B17D61"/>
    <w:rsid w:val="00BF7A8E"/>
    <w:rsid w:val="00C24EFC"/>
    <w:rsid w:val="00CF77F9"/>
    <w:rsid w:val="00D07633"/>
    <w:rsid w:val="00D74849"/>
    <w:rsid w:val="00DB7ECE"/>
    <w:rsid w:val="00DE06FE"/>
    <w:rsid w:val="00E146D6"/>
    <w:rsid w:val="00F7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A0C2"/>
  <w15:chartTrackingRefBased/>
  <w15:docId w15:val="{29796B88-1C23-4D82-A5EA-766B6E6F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09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097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50D27"/>
    <w:pPr>
      <w:spacing w:line="256" w:lineRule="auto"/>
      <w:ind w:left="720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D74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99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99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4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16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Marciniec</dc:creator>
  <cp:keywords/>
  <dc:description/>
  <cp:lastModifiedBy>Barbara Skoczyńska-Prokopowicz</cp:lastModifiedBy>
  <cp:revision>10</cp:revision>
  <dcterms:created xsi:type="dcterms:W3CDTF">2023-05-04T15:41:00Z</dcterms:created>
  <dcterms:modified xsi:type="dcterms:W3CDTF">2023-05-16T06:51:00Z</dcterms:modified>
</cp:coreProperties>
</file>