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89F0C" w14:textId="77777777" w:rsidR="00F264A4" w:rsidRDefault="00F264A4" w:rsidP="00F264A4">
      <w:pPr>
        <w:spacing w:after="0" w:line="360" w:lineRule="auto"/>
        <w:jc w:val="center"/>
        <w:rPr>
          <w:rFonts w:ascii="Times New Roman" w:hAnsi="Times New Roman"/>
          <w:b/>
          <w:bCs/>
          <w:sz w:val="32"/>
          <w:szCs w:val="32"/>
        </w:rPr>
      </w:pPr>
      <w:r>
        <w:rPr>
          <w:rFonts w:ascii="Times New Roman" w:hAnsi="Times New Roman"/>
          <w:b/>
          <w:bCs/>
          <w:sz w:val="32"/>
          <w:szCs w:val="32"/>
        </w:rPr>
        <w:t>Ramowy program praktyki programowej</w:t>
      </w:r>
    </w:p>
    <w:p w14:paraId="552A879E" w14:textId="77777777" w:rsidR="00F264A4" w:rsidRPr="00310E6F" w:rsidRDefault="00F264A4" w:rsidP="00F264A4">
      <w:pPr>
        <w:spacing w:after="0" w:line="360" w:lineRule="auto"/>
        <w:jc w:val="center"/>
        <w:rPr>
          <w:rFonts w:ascii="Times New Roman" w:hAnsi="Times New Roman"/>
          <w:b/>
          <w:bCs/>
          <w:sz w:val="32"/>
          <w:szCs w:val="32"/>
        </w:rPr>
      </w:pPr>
      <w:r w:rsidRPr="00310E6F">
        <w:rPr>
          <w:rFonts w:ascii="Times New Roman" w:hAnsi="Times New Roman"/>
          <w:b/>
          <w:bCs/>
          <w:sz w:val="32"/>
          <w:szCs w:val="32"/>
        </w:rPr>
        <w:t xml:space="preserve"> </w:t>
      </w:r>
      <w:r>
        <w:rPr>
          <w:rFonts w:ascii="Times New Roman" w:hAnsi="Times New Roman"/>
          <w:b/>
          <w:bCs/>
          <w:sz w:val="32"/>
          <w:szCs w:val="32"/>
        </w:rPr>
        <w:t>(n</w:t>
      </w:r>
      <w:r w:rsidRPr="00310E6F">
        <w:rPr>
          <w:rFonts w:ascii="Times New Roman" w:hAnsi="Times New Roman"/>
          <w:b/>
          <w:bCs/>
          <w:sz w:val="32"/>
          <w:szCs w:val="32"/>
        </w:rPr>
        <w:t>azwa praktyki</w:t>
      </w:r>
      <w:r>
        <w:rPr>
          <w:rFonts w:ascii="Times New Roman" w:hAnsi="Times New Roman"/>
          <w:b/>
          <w:bCs/>
          <w:sz w:val="32"/>
          <w:szCs w:val="32"/>
        </w:rPr>
        <w:t xml:space="preserve"> </w:t>
      </w:r>
      <w:r w:rsidRPr="00310E6F">
        <w:rPr>
          <w:rFonts w:ascii="Times New Roman" w:hAnsi="Times New Roman"/>
          <w:b/>
          <w:bCs/>
          <w:sz w:val="32"/>
          <w:szCs w:val="32"/>
        </w:rPr>
        <w:t>– z planu praktyk)</w:t>
      </w:r>
    </w:p>
    <w:p w14:paraId="5BA1A6C4" w14:textId="674E7C8E" w:rsidR="00F264A4" w:rsidRPr="00EA2D93" w:rsidRDefault="00F264A4" w:rsidP="00F264A4">
      <w:pPr>
        <w:spacing w:after="120" w:line="360" w:lineRule="auto"/>
        <w:rPr>
          <w:rFonts w:ascii="Times New Roman" w:hAnsi="Times New Roman"/>
          <w:sz w:val="24"/>
          <w:szCs w:val="24"/>
        </w:rPr>
      </w:pPr>
      <w:r>
        <w:rPr>
          <w:rFonts w:ascii="Times New Roman" w:hAnsi="Times New Roman"/>
          <w:b/>
          <w:bCs/>
          <w:sz w:val="24"/>
          <w:szCs w:val="24"/>
        </w:rPr>
        <w:t>KIERUNEK STUDIÓW</w:t>
      </w:r>
      <w:r>
        <w:rPr>
          <w:rFonts w:ascii="Times New Roman" w:hAnsi="Times New Roman"/>
          <w:sz w:val="24"/>
          <w:szCs w:val="24"/>
        </w:rPr>
        <w:t xml:space="preserve">: </w:t>
      </w:r>
      <w:r w:rsidR="003B346C">
        <w:rPr>
          <w:rFonts w:ascii="Times New Roman" w:hAnsi="Times New Roman"/>
          <w:sz w:val="24"/>
          <w:szCs w:val="24"/>
        </w:rPr>
        <w:t>B</w:t>
      </w:r>
      <w:r w:rsidR="00032341" w:rsidRPr="00032341">
        <w:rPr>
          <w:rFonts w:ascii="Times New Roman" w:hAnsi="Times New Roman"/>
          <w:sz w:val="24"/>
          <w:szCs w:val="24"/>
        </w:rPr>
        <w:t>ezpieczeństwo wewnętrzne</w:t>
      </w:r>
    </w:p>
    <w:p w14:paraId="63879C65" w14:textId="6AACD073" w:rsidR="00F264A4" w:rsidRPr="00EA2D93" w:rsidRDefault="00F264A4" w:rsidP="00F264A4">
      <w:pPr>
        <w:spacing w:after="120" w:line="360" w:lineRule="auto"/>
        <w:rPr>
          <w:rFonts w:ascii="Times New Roman" w:hAnsi="Times New Roman"/>
          <w:sz w:val="24"/>
          <w:szCs w:val="24"/>
        </w:rPr>
      </w:pPr>
      <w:r>
        <w:rPr>
          <w:rFonts w:ascii="Times New Roman" w:hAnsi="Times New Roman"/>
          <w:b/>
          <w:bCs/>
          <w:sz w:val="24"/>
          <w:szCs w:val="24"/>
        </w:rPr>
        <w:t xml:space="preserve">ROK / STOPIEŃ/ </w:t>
      </w:r>
      <w:r w:rsidRPr="00EA2D93">
        <w:rPr>
          <w:rFonts w:ascii="Times New Roman" w:hAnsi="Times New Roman"/>
          <w:b/>
          <w:bCs/>
          <w:sz w:val="24"/>
          <w:szCs w:val="24"/>
        </w:rPr>
        <w:t>SEMESTR STUDIÓW</w:t>
      </w:r>
      <w:r w:rsidRPr="00EA2D93">
        <w:rPr>
          <w:rFonts w:ascii="Times New Roman" w:hAnsi="Times New Roman"/>
          <w:sz w:val="24"/>
          <w:szCs w:val="24"/>
        </w:rPr>
        <w:t>:</w:t>
      </w:r>
      <w:r w:rsidR="003B346C">
        <w:rPr>
          <w:rFonts w:ascii="Times New Roman" w:hAnsi="Times New Roman"/>
          <w:sz w:val="24"/>
          <w:szCs w:val="24"/>
        </w:rPr>
        <w:t xml:space="preserve"> II i III rok/IV, V, VI semestr</w:t>
      </w:r>
    </w:p>
    <w:p w14:paraId="6487BDCF" w14:textId="018B8A1F" w:rsidR="00F264A4" w:rsidRPr="00EA2D93" w:rsidRDefault="00F264A4" w:rsidP="00F264A4">
      <w:pPr>
        <w:spacing w:after="120" w:line="360" w:lineRule="auto"/>
        <w:rPr>
          <w:rFonts w:ascii="Times New Roman" w:hAnsi="Times New Roman"/>
          <w:sz w:val="24"/>
          <w:szCs w:val="24"/>
        </w:rPr>
      </w:pPr>
      <w:r w:rsidRPr="00EA2D93">
        <w:rPr>
          <w:rFonts w:ascii="Times New Roman" w:hAnsi="Times New Roman"/>
          <w:b/>
          <w:bCs/>
          <w:sz w:val="24"/>
          <w:szCs w:val="24"/>
        </w:rPr>
        <w:t>WYMIAR GODZIN</w:t>
      </w:r>
      <w:r w:rsidRPr="00EA2D93">
        <w:rPr>
          <w:rFonts w:ascii="Times New Roman" w:hAnsi="Times New Roman"/>
          <w:sz w:val="24"/>
          <w:szCs w:val="24"/>
        </w:rPr>
        <w:t>:</w:t>
      </w:r>
      <w:r w:rsidR="003B346C">
        <w:rPr>
          <w:rFonts w:ascii="Times New Roman" w:hAnsi="Times New Roman"/>
          <w:sz w:val="24"/>
          <w:szCs w:val="24"/>
        </w:rPr>
        <w:t xml:space="preserve"> 720</w:t>
      </w:r>
    </w:p>
    <w:p w14:paraId="46899659" w14:textId="2B94C0DF" w:rsidR="00F264A4" w:rsidRPr="00972D45" w:rsidRDefault="00F264A4" w:rsidP="00F264A4">
      <w:pPr>
        <w:spacing w:after="120" w:line="360" w:lineRule="auto"/>
        <w:rPr>
          <w:rFonts w:ascii="Times New Roman" w:hAnsi="Times New Roman"/>
          <w:sz w:val="24"/>
          <w:szCs w:val="24"/>
        </w:rPr>
      </w:pPr>
      <w:r w:rsidRPr="00EA2D93">
        <w:rPr>
          <w:rFonts w:ascii="Times New Roman" w:hAnsi="Times New Roman"/>
          <w:b/>
          <w:bCs/>
          <w:sz w:val="24"/>
          <w:szCs w:val="24"/>
        </w:rPr>
        <w:t>CZAS TRWANIA</w:t>
      </w:r>
      <w:r w:rsidRPr="00EA2D93">
        <w:rPr>
          <w:rFonts w:ascii="Times New Roman" w:hAnsi="Times New Roman"/>
          <w:sz w:val="24"/>
          <w:szCs w:val="24"/>
        </w:rPr>
        <w:t>:</w:t>
      </w:r>
      <w:r w:rsidR="00FC131D">
        <w:rPr>
          <w:rFonts w:ascii="Times New Roman" w:hAnsi="Times New Roman"/>
          <w:sz w:val="24"/>
          <w:szCs w:val="24"/>
        </w:rPr>
        <w:t xml:space="preserve"> 3 semestry (IV, V i VI semestr)</w:t>
      </w:r>
    </w:p>
    <w:p w14:paraId="2759C09B" w14:textId="77777777" w:rsidR="00F264A4" w:rsidRPr="00C5408C" w:rsidRDefault="00F264A4" w:rsidP="00F264A4">
      <w:pPr>
        <w:spacing w:after="0" w:line="360" w:lineRule="auto"/>
        <w:rPr>
          <w:sz w:val="24"/>
          <w:szCs w:val="24"/>
        </w:rPr>
      </w:pPr>
    </w:p>
    <w:p w14:paraId="393EBFD8" w14:textId="77777777" w:rsidR="00F264A4" w:rsidRPr="00E555CE" w:rsidRDefault="00F264A4" w:rsidP="00E555CE">
      <w:pPr>
        <w:spacing w:after="0" w:line="360" w:lineRule="auto"/>
        <w:rPr>
          <w:rFonts w:asciiTheme="majorHAnsi" w:hAnsiTheme="majorHAnsi"/>
          <w:b/>
          <w:sz w:val="24"/>
          <w:szCs w:val="24"/>
        </w:rPr>
      </w:pPr>
      <w:r w:rsidRPr="00E555CE">
        <w:rPr>
          <w:rFonts w:asciiTheme="majorHAnsi" w:hAnsiTheme="majorHAnsi"/>
          <w:b/>
          <w:sz w:val="24"/>
          <w:szCs w:val="24"/>
        </w:rPr>
        <w:t>Cele i miejsce odbywania:</w:t>
      </w:r>
    </w:p>
    <w:p w14:paraId="02D3D778" w14:textId="2DCB4F26" w:rsidR="004C3BEE" w:rsidRPr="00E555CE" w:rsidRDefault="008571F3" w:rsidP="00E555CE">
      <w:pPr>
        <w:pStyle w:val="Default"/>
        <w:spacing w:line="360" w:lineRule="auto"/>
        <w:jc w:val="both"/>
        <w:rPr>
          <w:rFonts w:asciiTheme="majorHAnsi" w:hAnsiTheme="majorHAnsi" w:cs="Times New Roman"/>
        </w:rPr>
      </w:pPr>
      <w:r w:rsidRPr="00E555CE">
        <w:rPr>
          <w:rFonts w:asciiTheme="majorHAnsi" w:hAnsiTheme="majorHAnsi" w:cs="Times New Roman"/>
        </w:rPr>
        <w:t xml:space="preserve">Celem praktyki zawodowej jest weryfikacja i rozszerzenie wiedzy zdobytej w trakcie studiów oraz rozwijanie umiejętności jej wykorzystania w działaniach praktycznych niezbędnych w pracy zawodowej. Praktyka umożliwia przygotowanie do podjęcia pracy m.in. w strukturach administracji państwowej i samorządowej realizujących zadania z zakresu bezpieczeństwa wewnętrznego; w służbach, inspekcjach i strażach, a także w innych organizacjach zajmujących się bezpieczeństwem obywateli oraz w zespołach zarządzania kryzysowego </w:t>
      </w:r>
    </w:p>
    <w:p w14:paraId="316EAF2F" w14:textId="18967DD3" w:rsidR="004C3BEE" w:rsidRPr="00E555CE" w:rsidRDefault="004C3BEE" w:rsidP="00E555CE">
      <w:pPr>
        <w:pStyle w:val="Default"/>
        <w:spacing w:line="360" w:lineRule="auto"/>
        <w:rPr>
          <w:rFonts w:asciiTheme="majorHAnsi" w:hAnsiTheme="majorHAnsi" w:cs="Times New Roman"/>
        </w:rPr>
      </w:pPr>
      <w:r w:rsidRPr="00E555CE">
        <w:rPr>
          <w:rFonts w:asciiTheme="majorHAnsi" w:hAnsiTheme="majorHAnsi" w:cs="Times New Roman"/>
          <w:b/>
          <w:bCs/>
        </w:rPr>
        <w:t xml:space="preserve">Miejsce praktyki </w:t>
      </w:r>
    </w:p>
    <w:p w14:paraId="6A52A0D4" w14:textId="3C6C3445" w:rsidR="004C3BEE" w:rsidRPr="00E555CE" w:rsidRDefault="004C3BEE" w:rsidP="00E555CE">
      <w:pPr>
        <w:pStyle w:val="Default"/>
        <w:spacing w:line="360" w:lineRule="auto"/>
        <w:jc w:val="both"/>
        <w:rPr>
          <w:rFonts w:asciiTheme="majorHAnsi" w:hAnsiTheme="majorHAnsi" w:cs="Times New Roman"/>
        </w:rPr>
      </w:pPr>
      <w:r w:rsidRPr="00E555CE">
        <w:rPr>
          <w:rFonts w:asciiTheme="majorHAnsi" w:hAnsiTheme="majorHAnsi" w:cs="Times New Roman"/>
        </w:rPr>
        <w:t>1. sektor publiczny: służby rządowe i samorządowe powołane do ochrony ładu i porządku publicznego (Policja, Straż Pożarna, Straż Gminna, Służba Celna, Straż Ochrony Kolei, Straż Graniczna, Służba Więzienna, Inspekcja Transportu Drogowego, Inspekcja Ochrony Środowiska, Inspekcja Sanitarna, Centra Zarządzania Kryzysowego, Agencja Bezpieczeństwa Wewnętrznego, Jednostki Sił Zbrojnych RP oraz inne jednostki działające w ramach resortu obrony narodowej itp.)</w:t>
      </w:r>
    </w:p>
    <w:p w14:paraId="3514C34E" w14:textId="74E609CD" w:rsidR="004F6FAF" w:rsidRPr="00E555CE" w:rsidRDefault="004F6FAF" w:rsidP="00E555CE">
      <w:pPr>
        <w:pStyle w:val="Default"/>
        <w:spacing w:line="360" w:lineRule="auto"/>
        <w:jc w:val="both"/>
        <w:rPr>
          <w:rFonts w:asciiTheme="majorHAnsi" w:hAnsiTheme="majorHAnsi" w:cs="Times New Roman"/>
        </w:rPr>
      </w:pPr>
      <w:r w:rsidRPr="00E555CE">
        <w:rPr>
          <w:rFonts w:asciiTheme="majorHAnsi" w:hAnsiTheme="majorHAnsi" w:cs="Times New Roman"/>
        </w:rPr>
        <w:t>2. sektor prywatny: firmy komercyjne prowadzące działalność w zakresie zapewnienia bezpieczeństwa wewnętrznego (Specjalistyczne Uzbrojone Formacje Ochronne, agencje ochrony osób i mienia, firmy zabezpieczające imprezy masowe, itp.)</w:t>
      </w:r>
    </w:p>
    <w:p w14:paraId="10769076" w14:textId="2C35E672" w:rsidR="004F6FAF" w:rsidRPr="00E555CE" w:rsidRDefault="004F6FAF" w:rsidP="00E555CE">
      <w:pPr>
        <w:pStyle w:val="Default"/>
        <w:spacing w:line="360" w:lineRule="auto"/>
        <w:jc w:val="both"/>
        <w:rPr>
          <w:rFonts w:asciiTheme="majorHAnsi" w:hAnsiTheme="majorHAnsi" w:cs="Times New Roman"/>
        </w:rPr>
      </w:pPr>
      <w:r w:rsidRPr="00E555CE">
        <w:rPr>
          <w:rFonts w:asciiTheme="majorHAnsi" w:hAnsiTheme="majorHAnsi" w:cs="Times New Roman"/>
        </w:rPr>
        <w:t>3. III sektor: organizacje pozarządowe prowadzące działalność w zakresie zapewnienia bezpieczeństwa wewnętrznego (organizacje ratownictwa medycznego, ochrony przeciwpożarowej, organizacje podejmujące działania w zakresie ochrony środowiska, w zakresie zapobiegania skutkom klęsk żywiołowych lub ich usunięcia, organizacje zajmujące się analizowaniem sytuacji bezpieczeństwa narodowego itp.)</w:t>
      </w:r>
    </w:p>
    <w:p w14:paraId="594D99FC" w14:textId="77777777" w:rsidR="00E555CE" w:rsidRDefault="00E555CE" w:rsidP="00F264A4">
      <w:pPr>
        <w:tabs>
          <w:tab w:val="num" w:pos="567"/>
          <w:tab w:val="left" w:pos="709"/>
        </w:tabs>
        <w:rPr>
          <w:b/>
          <w:sz w:val="24"/>
          <w:szCs w:val="24"/>
        </w:rPr>
      </w:pPr>
    </w:p>
    <w:p w14:paraId="74991456" w14:textId="119697E3" w:rsidR="00F264A4" w:rsidRPr="00CB7B11" w:rsidRDefault="00F264A4" w:rsidP="00C4063C">
      <w:pPr>
        <w:tabs>
          <w:tab w:val="num" w:pos="567"/>
          <w:tab w:val="left" w:pos="709"/>
        </w:tabs>
        <w:jc w:val="both"/>
        <w:rPr>
          <w:rFonts w:asciiTheme="majorHAnsi" w:hAnsiTheme="majorHAnsi"/>
          <w:b/>
          <w:sz w:val="24"/>
          <w:szCs w:val="24"/>
        </w:rPr>
      </w:pPr>
      <w:r w:rsidRPr="00CB7B11">
        <w:rPr>
          <w:rFonts w:asciiTheme="majorHAnsi" w:hAnsiTheme="majorHAnsi"/>
          <w:b/>
          <w:sz w:val="24"/>
          <w:szCs w:val="24"/>
        </w:rPr>
        <w:lastRenderedPageBreak/>
        <w:t>Cele szczegółowe (zakres tematyczny praktyki programowej):</w:t>
      </w:r>
    </w:p>
    <w:p w14:paraId="61FBB653" w14:textId="77777777" w:rsidR="009300EF" w:rsidRPr="00CB7B11" w:rsidRDefault="009300EF" w:rsidP="00C4063C">
      <w:pPr>
        <w:pStyle w:val="Default"/>
        <w:spacing w:line="276" w:lineRule="auto"/>
        <w:jc w:val="both"/>
        <w:rPr>
          <w:rFonts w:asciiTheme="majorHAnsi" w:hAnsiTheme="majorHAnsi"/>
        </w:rPr>
      </w:pPr>
      <w:r w:rsidRPr="00CB7B11">
        <w:rPr>
          <w:rFonts w:asciiTheme="majorHAnsi" w:hAnsiTheme="majorHAnsi"/>
        </w:rPr>
        <w:t xml:space="preserve">1. Zapoznanie studenta z jednostką przyjmującą, jej strukturą organizacyjną oraz zadaniami poszczególnych komórek i ich wzajemnymi powiązaniami. </w:t>
      </w:r>
    </w:p>
    <w:p w14:paraId="108E8212" w14:textId="77777777" w:rsidR="009300EF" w:rsidRPr="00CB7B11" w:rsidRDefault="009300EF" w:rsidP="00C4063C">
      <w:pPr>
        <w:pStyle w:val="Default"/>
        <w:spacing w:line="276" w:lineRule="auto"/>
        <w:jc w:val="both"/>
        <w:rPr>
          <w:rFonts w:asciiTheme="majorHAnsi" w:hAnsiTheme="majorHAnsi"/>
        </w:rPr>
      </w:pPr>
      <w:r w:rsidRPr="00CB7B11">
        <w:rPr>
          <w:rFonts w:asciiTheme="majorHAnsi" w:hAnsiTheme="majorHAnsi"/>
        </w:rPr>
        <w:t xml:space="preserve">2. Zapoznanie z systemem regulacyjnym jednostki przyjmującej: regulaminem wewnętrznym, przepisami o dyscyplinie pracy, przepisami BHP, opisami stanowisk itp. </w:t>
      </w:r>
    </w:p>
    <w:p w14:paraId="46209FF1" w14:textId="77777777" w:rsidR="009300EF" w:rsidRPr="00CB7B11" w:rsidRDefault="009300EF" w:rsidP="00C4063C">
      <w:pPr>
        <w:pStyle w:val="Default"/>
        <w:spacing w:line="276" w:lineRule="auto"/>
        <w:jc w:val="both"/>
        <w:rPr>
          <w:rFonts w:asciiTheme="majorHAnsi" w:hAnsiTheme="majorHAnsi"/>
        </w:rPr>
      </w:pPr>
      <w:r w:rsidRPr="00CB7B11">
        <w:rPr>
          <w:rFonts w:asciiTheme="majorHAnsi" w:hAnsiTheme="majorHAnsi"/>
        </w:rPr>
        <w:t xml:space="preserve">3. Zapoznanie z systemem informacyjnym jednostki przyjmującej: organizacją sekretariatu, obiegiem dokumentów i ich klasyfikacją oraz ich przechowywaniem i niszczeniem. </w:t>
      </w:r>
    </w:p>
    <w:p w14:paraId="6CA4AB40" w14:textId="77777777" w:rsidR="009300EF" w:rsidRPr="00CB7B11" w:rsidRDefault="009300EF" w:rsidP="00C4063C">
      <w:pPr>
        <w:pStyle w:val="Default"/>
        <w:spacing w:line="276" w:lineRule="auto"/>
        <w:jc w:val="both"/>
        <w:rPr>
          <w:rFonts w:asciiTheme="majorHAnsi" w:hAnsiTheme="majorHAnsi"/>
        </w:rPr>
      </w:pPr>
      <w:r w:rsidRPr="00CB7B11">
        <w:rPr>
          <w:rFonts w:asciiTheme="majorHAnsi" w:hAnsiTheme="majorHAnsi"/>
        </w:rPr>
        <w:t xml:space="preserve">4. Zapoznanie z postępowaniem z informacjami niejawnymi: tajemnicą służbową, handlową itp. </w:t>
      </w:r>
    </w:p>
    <w:p w14:paraId="044ABA21" w14:textId="77777777" w:rsidR="009300EF" w:rsidRPr="00CB7B11" w:rsidRDefault="009300EF" w:rsidP="00C4063C">
      <w:pPr>
        <w:pStyle w:val="Default"/>
        <w:spacing w:line="276" w:lineRule="auto"/>
        <w:jc w:val="both"/>
        <w:rPr>
          <w:rFonts w:asciiTheme="majorHAnsi" w:hAnsiTheme="majorHAnsi"/>
        </w:rPr>
      </w:pPr>
      <w:r w:rsidRPr="00CB7B11">
        <w:rPr>
          <w:rFonts w:asciiTheme="majorHAnsi" w:hAnsiTheme="majorHAnsi"/>
        </w:rPr>
        <w:t xml:space="preserve">5. Zapoznanie ze sposobem funkcjonowania systemu informatycznego wspierającego system informacyjny. </w:t>
      </w:r>
    </w:p>
    <w:p w14:paraId="41D32B7A" w14:textId="77777777" w:rsidR="009300EF" w:rsidRPr="00CB7B11" w:rsidRDefault="009300EF" w:rsidP="00C4063C">
      <w:pPr>
        <w:pStyle w:val="Default"/>
        <w:spacing w:line="276" w:lineRule="auto"/>
        <w:jc w:val="both"/>
        <w:rPr>
          <w:rFonts w:asciiTheme="majorHAnsi" w:hAnsiTheme="majorHAnsi"/>
        </w:rPr>
      </w:pPr>
      <w:r w:rsidRPr="00CB7B11">
        <w:rPr>
          <w:rFonts w:asciiTheme="majorHAnsi" w:hAnsiTheme="majorHAnsi"/>
        </w:rPr>
        <w:t xml:space="preserve">6. Zapoznanie z procesem podejmowania decyzji w jednostce przyjmującej. </w:t>
      </w:r>
    </w:p>
    <w:p w14:paraId="5D37B698" w14:textId="77777777" w:rsidR="009300EF" w:rsidRPr="00CB7B11" w:rsidRDefault="009300EF" w:rsidP="00C4063C">
      <w:pPr>
        <w:pStyle w:val="Default"/>
        <w:spacing w:line="276" w:lineRule="auto"/>
        <w:jc w:val="both"/>
        <w:rPr>
          <w:rFonts w:asciiTheme="majorHAnsi" w:hAnsiTheme="majorHAnsi"/>
        </w:rPr>
      </w:pPr>
      <w:r w:rsidRPr="00CB7B11">
        <w:rPr>
          <w:rFonts w:asciiTheme="majorHAnsi" w:hAnsiTheme="majorHAnsi"/>
        </w:rPr>
        <w:t xml:space="preserve">7. Zapoznanie ze specyfiką zagrożeń bezpieczeństwa w wymiarach działania organizacji. </w:t>
      </w:r>
    </w:p>
    <w:p w14:paraId="3D64C5CD" w14:textId="77777777" w:rsidR="009300EF" w:rsidRPr="00CB7B11" w:rsidRDefault="009300EF" w:rsidP="00C4063C">
      <w:pPr>
        <w:pStyle w:val="Default"/>
        <w:spacing w:line="276" w:lineRule="auto"/>
        <w:jc w:val="both"/>
        <w:rPr>
          <w:rFonts w:asciiTheme="majorHAnsi" w:hAnsiTheme="majorHAnsi"/>
        </w:rPr>
      </w:pPr>
      <w:r w:rsidRPr="00CB7B11">
        <w:rPr>
          <w:rFonts w:asciiTheme="majorHAnsi" w:hAnsiTheme="majorHAnsi"/>
        </w:rPr>
        <w:t xml:space="preserve">8. Zapoznanie z instrumentami ochrony bezpieczeństwa. </w:t>
      </w:r>
    </w:p>
    <w:p w14:paraId="5E05287B" w14:textId="77777777" w:rsidR="009300EF" w:rsidRPr="00CB7B11" w:rsidRDefault="009300EF" w:rsidP="00C4063C">
      <w:pPr>
        <w:pStyle w:val="Default"/>
        <w:spacing w:line="276" w:lineRule="auto"/>
        <w:jc w:val="both"/>
        <w:rPr>
          <w:rFonts w:asciiTheme="majorHAnsi" w:hAnsiTheme="majorHAnsi"/>
        </w:rPr>
      </w:pPr>
      <w:r w:rsidRPr="00CB7B11">
        <w:rPr>
          <w:rFonts w:asciiTheme="majorHAnsi" w:hAnsiTheme="majorHAnsi"/>
        </w:rPr>
        <w:t xml:space="preserve">9. Zapoznanie z procedurą postępowania w sytuacjach kryzysowych. </w:t>
      </w:r>
    </w:p>
    <w:p w14:paraId="7361C580" w14:textId="77777777" w:rsidR="00FE6318" w:rsidRPr="00CB7B11" w:rsidRDefault="00FE6318" w:rsidP="00C4063C">
      <w:pPr>
        <w:spacing w:after="0"/>
        <w:jc w:val="both"/>
        <w:rPr>
          <w:rFonts w:asciiTheme="majorHAnsi" w:hAnsiTheme="majorHAnsi"/>
          <w:b/>
          <w:sz w:val="24"/>
          <w:szCs w:val="24"/>
        </w:rPr>
      </w:pPr>
    </w:p>
    <w:p w14:paraId="4776CECC" w14:textId="5906C288" w:rsidR="00F264A4" w:rsidRPr="00CB7B11" w:rsidRDefault="00F264A4" w:rsidP="00C4063C">
      <w:pPr>
        <w:spacing w:after="0"/>
        <w:jc w:val="both"/>
        <w:rPr>
          <w:rFonts w:asciiTheme="majorHAnsi" w:hAnsiTheme="majorHAnsi"/>
          <w:b/>
          <w:sz w:val="24"/>
          <w:szCs w:val="24"/>
        </w:rPr>
      </w:pPr>
      <w:r w:rsidRPr="00CB7B11">
        <w:rPr>
          <w:rFonts w:asciiTheme="majorHAnsi" w:hAnsiTheme="majorHAnsi"/>
          <w:b/>
          <w:sz w:val="24"/>
          <w:szCs w:val="24"/>
        </w:rPr>
        <w:t>Zadania szczegółowe, organizacja, przebieg praktyki:</w:t>
      </w:r>
    </w:p>
    <w:p w14:paraId="7B2149E1" w14:textId="77777777" w:rsidR="008443B4" w:rsidRPr="00CB7B11" w:rsidRDefault="008443B4" w:rsidP="00C4063C">
      <w:pPr>
        <w:pStyle w:val="Default"/>
        <w:spacing w:line="276" w:lineRule="auto"/>
        <w:jc w:val="both"/>
        <w:rPr>
          <w:rFonts w:asciiTheme="majorHAnsi" w:hAnsiTheme="majorHAnsi"/>
        </w:rPr>
      </w:pPr>
      <w:r w:rsidRPr="00CB7B11">
        <w:rPr>
          <w:rFonts w:asciiTheme="majorHAnsi" w:hAnsiTheme="majorHAnsi"/>
        </w:rPr>
        <w:t xml:space="preserve">1. Udział w pracach związanych z planowaniem potencjalnych zagrożeń i opracowywaniem metod zarządzania kryzysowego. </w:t>
      </w:r>
    </w:p>
    <w:p w14:paraId="471C3260" w14:textId="77777777" w:rsidR="008443B4" w:rsidRPr="00CB7B11" w:rsidRDefault="008443B4" w:rsidP="00C4063C">
      <w:pPr>
        <w:pStyle w:val="Default"/>
        <w:spacing w:line="276" w:lineRule="auto"/>
        <w:jc w:val="both"/>
        <w:rPr>
          <w:rFonts w:asciiTheme="majorHAnsi" w:hAnsiTheme="majorHAnsi"/>
        </w:rPr>
      </w:pPr>
      <w:r w:rsidRPr="00CB7B11">
        <w:rPr>
          <w:rFonts w:asciiTheme="majorHAnsi" w:hAnsiTheme="majorHAnsi"/>
        </w:rPr>
        <w:t xml:space="preserve">2. Tworzenie i redakcja tekstów i dokumentów. </w:t>
      </w:r>
    </w:p>
    <w:p w14:paraId="1FC56D9C" w14:textId="77777777" w:rsidR="008443B4" w:rsidRPr="00CB7B11" w:rsidRDefault="008443B4" w:rsidP="00C4063C">
      <w:pPr>
        <w:pStyle w:val="Default"/>
        <w:spacing w:line="276" w:lineRule="auto"/>
        <w:jc w:val="both"/>
        <w:rPr>
          <w:rFonts w:asciiTheme="majorHAnsi" w:hAnsiTheme="majorHAnsi"/>
        </w:rPr>
      </w:pPr>
      <w:r w:rsidRPr="00CB7B11">
        <w:rPr>
          <w:rFonts w:asciiTheme="majorHAnsi" w:hAnsiTheme="majorHAnsi"/>
        </w:rPr>
        <w:t xml:space="preserve">3. Tworzenie baz danych. </w:t>
      </w:r>
    </w:p>
    <w:p w14:paraId="740AC040" w14:textId="77777777" w:rsidR="008443B4" w:rsidRPr="00CB7B11" w:rsidRDefault="008443B4" w:rsidP="00C4063C">
      <w:pPr>
        <w:pStyle w:val="Default"/>
        <w:spacing w:line="276" w:lineRule="auto"/>
        <w:jc w:val="both"/>
        <w:rPr>
          <w:rFonts w:asciiTheme="majorHAnsi" w:hAnsiTheme="majorHAnsi"/>
        </w:rPr>
      </w:pPr>
      <w:r w:rsidRPr="00CB7B11">
        <w:rPr>
          <w:rFonts w:asciiTheme="majorHAnsi" w:hAnsiTheme="majorHAnsi"/>
        </w:rPr>
        <w:t xml:space="preserve">4. Udział w podejmowaniu działań prewencyjnych. </w:t>
      </w:r>
    </w:p>
    <w:p w14:paraId="5B7E5B7F" w14:textId="77777777" w:rsidR="008443B4" w:rsidRPr="00CB7B11" w:rsidRDefault="008443B4" w:rsidP="00C4063C">
      <w:pPr>
        <w:pStyle w:val="Default"/>
        <w:spacing w:line="276" w:lineRule="auto"/>
        <w:jc w:val="both"/>
        <w:rPr>
          <w:rFonts w:asciiTheme="majorHAnsi" w:hAnsiTheme="majorHAnsi"/>
        </w:rPr>
      </w:pPr>
      <w:r w:rsidRPr="00CB7B11">
        <w:rPr>
          <w:rFonts w:asciiTheme="majorHAnsi" w:hAnsiTheme="majorHAnsi"/>
        </w:rPr>
        <w:t xml:space="preserve">5. Udział w czynnościach operacyjnych i nadzorujących bezpieczeństwo publiczne. </w:t>
      </w:r>
    </w:p>
    <w:p w14:paraId="198907E8" w14:textId="77777777" w:rsidR="008443B4" w:rsidRPr="00CB7B11" w:rsidRDefault="008443B4" w:rsidP="00C4063C">
      <w:pPr>
        <w:pStyle w:val="Default"/>
        <w:spacing w:line="276" w:lineRule="auto"/>
        <w:jc w:val="both"/>
        <w:rPr>
          <w:rFonts w:asciiTheme="majorHAnsi" w:hAnsiTheme="majorHAnsi"/>
        </w:rPr>
      </w:pPr>
      <w:r w:rsidRPr="00CB7B11">
        <w:rPr>
          <w:rFonts w:asciiTheme="majorHAnsi" w:hAnsiTheme="majorHAnsi"/>
        </w:rPr>
        <w:t xml:space="preserve">6. Udział w bieżących pracach organizacyjnych. </w:t>
      </w:r>
    </w:p>
    <w:p w14:paraId="10ACF00A" w14:textId="795A574C" w:rsidR="00995BDB" w:rsidRPr="00CB7B11" w:rsidRDefault="00995BDB" w:rsidP="00C4063C">
      <w:pPr>
        <w:pStyle w:val="Default"/>
        <w:spacing w:line="276" w:lineRule="auto"/>
        <w:jc w:val="both"/>
        <w:rPr>
          <w:rFonts w:asciiTheme="majorHAnsi" w:hAnsiTheme="majorHAnsi"/>
          <w:color w:val="auto"/>
        </w:rPr>
      </w:pPr>
      <w:r w:rsidRPr="00CB7B11">
        <w:rPr>
          <w:rFonts w:asciiTheme="majorHAnsi" w:hAnsiTheme="majorHAnsi"/>
          <w:color w:val="auto"/>
        </w:rPr>
        <w:t xml:space="preserve">Obowiązkiem praktykanta jest przybycie w ustalonym terminie do wyznaczonego na praktykę zakładu pracy oraz zgłoszenie się </w:t>
      </w:r>
      <w:r w:rsidR="005A0479" w:rsidRPr="00CB7B11">
        <w:rPr>
          <w:rFonts w:asciiTheme="majorHAnsi" w:hAnsiTheme="majorHAnsi"/>
          <w:color w:val="auto"/>
        </w:rPr>
        <w:t>u</w:t>
      </w:r>
      <w:r w:rsidRPr="00CB7B11">
        <w:rPr>
          <w:rFonts w:asciiTheme="majorHAnsi" w:hAnsiTheme="majorHAnsi"/>
          <w:color w:val="auto"/>
        </w:rPr>
        <w:t xml:space="preserve"> dyrekcji i u opiekuna zakładowego. Praktykant winien wykonywać polecenia opiekuna zakładowego i kierownictwa zakładu pracy związane z celami praktyki zawodowej. Zobowiązany jest do przestrzegania regulaminu zakładu pracy, w któr</w:t>
      </w:r>
      <w:r w:rsidR="009A3013" w:rsidRPr="00CB7B11">
        <w:rPr>
          <w:rFonts w:asciiTheme="majorHAnsi" w:hAnsiTheme="majorHAnsi"/>
          <w:color w:val="auto"/>
        </w:rPr>
        <w:t>ym</w:t>
      </w:r>
      <w:r w:rsidRPr="00CB7B11">
        <w:rPr>
          <w:rFonts w:asciiTheme="majorHAnsi" w:hAnsiTheme="majorHAnsi"/>
          <w:color w:val="auto"/>
        </w:rPr>
        <w:t xml:space="preserve"> odbywa praktykę, a także zasad BHP i ochrony przeciwpożarowej, zasad zachowania tajemnicy służbowej i państwowej oraz ochrony poufności danych osobowych. Praktykant ma obowiązek dbać o wysoki poziom wykonywania powierzonych mu zadań. </w:t>
      </w:r>
    </w:p>
    <w:p w14:paraId="55BEEE39" w14:textId="3ED82D6B" w:rsidR="00995BDB" w:rsidRPr="00CB7B11" w:rsidRDefault="00995BDB" w:rsidP="00C4063C">
      <w:pPr>
        <w:pStyle w:val="Default"/>
        <w:spacing w:line="276" w:lineRule="auto"/>
        <w:jc w:val="both"/>
        <w:rPr>
          <w:rFonts w:asciiTheme="majorHAnsi" w:hAnsiTheme="majorHAnsi"/>
          <w:color w:val="auto"/>
        </w:rPr>
      </w:pPr>
      <w:r w:rsidRPr="00CB7B11">
        <w:rPr>
          <w:rFonts w:asciiTheme="majorHAnsi" w:hAnsiTheme="majorHAnsi"/>
          <w:color w:val="auto"/>
        </w:rPr>
        <w:t xml:space="preserve">Na okres praktyki student zobowiązany jest do wykupienia we własnym zakresie ubezpieczenia </w:t>
      </w:r>
      <w:r w:rsidR="004D5940" w:rsidRPr="00CB7B11">
        <w:rPr>
          <w:rFonts w:asciiTheme="majorHAnsi" w:hAnsiTheme="majorHAnsi"/>
          <w:color w:val="auto"/>
        </w:rPr>
        <w:t xml:space="preserve">od </w:t>
      </w:r>
      <w:r w:rsidRPr="00CB7B11">
        <w:rPr>
          <w:rFonts w:asciiTheme="majorHAnsi" w:hAnsiTheme="majorHAnsi"/>
          <w:color w:val="auto"/>
        </w:rPr>
        <w:t xml:space="preserve">następstw nieszczęśliwych wypadków (NNW). Polisę NNW należy przedłożyć koordynatorowi praktyk w Instytucie Nauk o Polityce </w:t>
      </w:r>
      <w:r w:rsidR="00325E69" w:rsidRPr="00CB7B11">
        <w:rPr>
          <w:rFonts w:asciiTheme="majorHAnsi" w:hAnsiTheme="majorHAnsi"/>
          <w:color w:val="auto"/>
        </w:rPr>
        <w:t xml:space="preserve">i Bezpieczeństwie </w:t>
      </w:r>
      <w:r w:rsidRPr="00CB7B11">
        <w:rPr>
          <w:rFonts w:asciiTheme="majorHAnsi" w:hAnsiTheme="majorHAnsi"/>
          <w:color w:val="auto"/>
        </w:rPr>
        <w:t>UR przed rozpoczęciem praktyki</w:t>
      </w:r>
      <w:r w:rsidR="009504C6" w:rsidRPr="00CB7B11">
        <w:rPr>
          <w:rFonts w:asciiTheme="majorHAnsi" w:hAnsiTheme="majorHAnsi"/>
          <w:color w:val="auto"/>
        </w:rPr>
        <w:t xml:space="preserve">. </w:t>
      </w:r>
    </w:p>
    <w:p w14:paraId="18C5F48D" w14:textId="1C17CFA7" w:rsidR="00995BDB" w:rsidRPr="00CB7B11" w:rsidRDefault="00995BDB" w:rsidP="00C4063C">
      <w:pPr>
        <w:pStyle w:val="Default"/>
        <w:spacing w:line="276" w:lineRule="auto"/>
        <w:jc w:val="both"/>
        <w:rPr>
          <w:rFonts w:asciiTheme="majorHAnsi" w:hAnsiTheme="majorHAnsi"/>
          <w:color w:val="auto"/>
        </w:rPr>
      </w:pPr>
      <w:r w:rsidRPr="00CB7B11">
        <w:rPr>
          <w:rFonts w:asciiTheme="majorHAnsi" w:hAnsiTheme="majorHAnsi"/>
          <w:color w:val="auto"/>
        </w:rPr>
        <w:t xml:space="preserve">Obecność studenta na praktyce jest obowiązkowa. W przypadku nieobecności na praktyce wymagane jest jej usprawiedliwienie i odpracowanie. Podstawą usprawiedliwienia nieobecności na praktyce jest: a) powiadomienie opiekuna zakładowego o nieobecności w pierwszym dniu niestawienia się na praktykę; b) przedłożenie opiekunowi zakładowemu zwolnienia lekarskiego i wpięcie go do dziennika </w:t>
      </w:r>
      <w:r w:rsidRPr="00CB7B11">
        <w:rPr>
          <w:rFonts w:asciiTheme="majorHAnsi" w:hAnsiTheme="majorHAnsi"/>
          <w:color w:val="auto"/>
        </w:rPr>
        <w:lastRenderedPageBreak/>
        <w:t xml:space="preserve">praktyki; c) przedłożenie do wglądu koordynatorowi zawodowych praktyk studenckich w Instytucie zwolnienia lekarskiego. Nieobecność nieusprawiedliwiona na praktyce skutkuje niezaliczeniem praktyki. Nieobecność usprawiedliwiona na praktyce wymaga odpracowania w terminie uzgodnionym z opiekunem zakładowym w porozumieniu z koordynatorem zawodowych praktyk studenckich w Instytucie. Praktyka może zostać przedłużona o czas trwania nieobecności usprawiedliwionej o ile jej przedłużenie nie koliduje z zajęciami dydaktycznymi i nie wykracza poza termin zaliczenia semestru. Brak możliwości spełnienia wskazanych warunków skutkuje niezaliczeniem praktyki. </w:t>
      </w:r>
    </w:p>
    <w:p w14:paraId="2AF27F5B" w14:textId="77777777" w:rsidR="00984D2C" w:rsidRPr="00CB7B11" w:rsidRDefault="00984D2C" w:rsidP="00C4063C">
      <w:pPr>
        <w:spacing w:after="0"/>
        <w:jc w:val="both"/>
        <w:rPr>
          <w:rFonts w:asciiTheme="majorHAnsi" w:hAnsiTheme="majorHAnsi"/>
          <w:b/>
          <w:sz w:val="24"/>
          <w:szCs w:val="24"/>
        </w:rPr>
      </w:pPr>
    </w:p>
    <w:p w14:paraId="26439091" w14:textId="5641875B" w:rsidR="00F264A4" w:rsidRPr="00CB7B11" w:rsidRDefault="00F264A4" w:rsidP="00C4063C">
      <w:pPr>
        <w:spacing w:after="0"/>
        <w:jc w:val="both"/>
        <w:rPr>
          <w:rFonts w:asciiTheme="majorHAnsi" w:hAnsiTheme="majorHAnsi"/>
          <w:b/>
          <w:sz w:val="24"/>
          <w:szCs w:val="24"/>
        </w:rPr>
      </w:pPr>
      <w:r w:rsidRPr="00CB7B11">
        <w:rPr>
          <w:rFonts w:asciiTheme="majorHAnsi" w:hAnsiTheme="majorHAnsi"/>
          <w:b/>
          <w:sz w:val="24"/>
          <w:szCs w:val="24"/>
        </w:rPr>
        <w:t>Warunki zaliczenia praktyki:</w:t>
      </w:r>
    </w:p>
    <w:p w14:paraId="51F3A447" w14:textId="1D69DDD5" w:rsidR="00E205F2" w:rsidRPr="00CB7B11" w:rsidRDefault="00E205F2" w:rsidP="00C4063C">
      <w:pPr>
        <w:pStyle w:val="Default"/>
        <w:spacing w:line="276" w:lineRule="auto"/>
        <w:jc w:val="both"/>
        <w:rPr>
          <w:rFonts w:asciiTheme="majorHAnsi" w:hAnsiTheme="majorHAnsi"/>
          <w:color w:val="auto"/>
        </w:rPr>
      </w:pPr>
      <w:r w:rsidRPr="00CB7B11">
        <w:rPr>
          <w:rFonts w:asciiTheme="majorHAnsi" w:hAnsiTheme="majorHAnsi"/>
          <w:color w:val="auto"/>
        </w:rPr>
        <w:t xml:space="preserve">Praktyka podlega odrębnemu zaliczeniu i stanowi warunek </w:t>
      </w:r>
      <w:r w:rsidR="00A3717B" w:rsidRPr="00CB7B11">
        <w:rPr>
          <w:rFonts w:asciiTheme="majorHAnsi" w:hAnsiTheme="majorHAnsi"/>
          <w:color w:val="auto"/>
        </w:rPr>
        <w:t xml:space="preserve">ukończenia drugiego i </w:t>
      </w:r>
      <w:r w:rsidRPr="00CB7B11">
        <w:rPr>
          <w:rFonts w:asciiTheme="majorHAnsi" w:hAnsiTheme="majorHAnsi"/>
          <w:color w:val="auto"/>
        </w:rPr>
        <w:t xml:space="preserve"> trzeciego roku studiów </w:t>
      </w:r>
      <w:r w:rsidR="00A3717B" w:rsidRPr="00CB7B11">
        <w:rPr>
          <w:rFonts w:asciiTheme="majorHAnsi" w:hAnsiTheme="majorHAnsi"/>
          <w:color w:val="auto"/>
        </w:rPr>
        <w:t>pierwszego</w:t>
      </w:r>
      <w:r w:rsidRPr="00CB7B11">
        <w:rPr>
          <w:rFonts w:asciiTheme="majorHAnsi" w:hAnsiTheme="majorHAnsi"/>
          <w:color w:val="auto"/>
        </w:rPr>
        <w:t xml:space="preserve"> stopnia. Podstawą zaliczenia praktyki jest dziennik praktyki zawierający szczegółowy przebieg realizacji praktyki potwierdzony przez opiekuna zakładowego wraz z jego opinią</w:t>
      </w:r>
      <w:r w:rsidR="00FE1432" w:rsidRPr="00CB7B11">
        <w:rPr>
          <w:rFonts w:asciiTheme="majorHAnsi" w:hAnsiTheme="majorHAnsi"/>
          <w:color w:val="auto"/>
        </w:rPr>
        <w:t xml:space="preserve"> o praktykancie. </w:t>
      </w:r>
      <w:r w:rsidR="0027163E" w:rsidRPr="00CB7B11">
        <w:rPr>
          <w:rFonts w:asciiTheme="majorHAnsi" w:hAnsiTheme="majorHAnsi"/>
          <w:color w:val="auto"/>
        </w:rPr>
        <w:t>P</w:t>
      </w:r>
      <w:r w:rsidRPr="00CB7B11">
        <w:rPr>
          <w:rFonts w:asciiTheme="majorHAnsi" w:hAnsiTheme="majorHAnsi"/>
          <w:color w:val="auto"/>
        </w:rPr>
        <w:t>raktyk</w:t>
      </w:r>
      <w:r w:rsidR="0027163E" w:rsidRPr="00CB7B11">
        <w:rPr>
          <w:rFonts w:asciiTheme="majorHAnsi" w:hAnsiTheme="majorHAnsi"/>
          <w:color w:val="auto"/>
        </w:rPr>
        <w:t>ę zalicza na ocenę k</w:t>
      </w:r>
      <w:r w:rsidRPr="00CB7B11">
        <w:rPr>
          <w:rFonts w:asciiTheme="majorHAnsi" w:hAnsiTheme="majorHAnsi"/>
          <w:color w:val="auto"/>
        </w:rPr>
        <w:t>oor</w:t>
      </w:r>
      <w:r w:rsidR="0027163E" w:rsidRPr="00CB7B11">
        <w:rPr>
          <w:rFonts w:asciiTheme="majorHAnsi" w:hAnsiTheme="majorHAnsi"/>
          <w:color w:val="auto"/>
        </w:rPr>
        <w:t>dyna</w:t>
      </w:r>
      <w:r w:rsidR="001C2CB9" w:rsidRPr="00CB7B11">
        <w:rPr>
          <w:rFonts w:asciiTheme="majorHAnsi" w:hAnsiTheme="majorHAnsi"/>
          <w:color w:val="auto"/>
        </w:rPr>
        <w:t xml:space="preserve">tor </w:t>
      </w:r>
      <w:r w:rsidRPr="00CB7B11">
        <w:rPr>
          <w:rFonts w:asciiTheme="majorHAnsi" w:hAnsiTheme="majorHAnsi"/>
          <w:color w:val="auto"/>
        </w:rPr>
        <w:t>zawodowych praktyk studenckich w Instytucie Nauk o Polityce</w:t>
      </w:r>
      <w:r w:rsidR="001C2CB9" w:rsidRPr="00CB7B11">
        <w:rPr>
          <w:rFonts w:asciiTheme="majorHAnsi" w:hAnsiTheme="majorHAnsi"/>
          <w:color w:val="auto"/>
        </w:rPr>
        <w:t xml:space="preserve"> i Bezpieczeństwie</w:t>
      </w:r>
      <w:r w:rsidRPr="00CB7B11">
        <w:rPr>
          <w:rFonts w:asciiTheme="majorHAnsi" w:hAnsiTheme="majorHAnsi"/>
          <w:color w:val="auto"/>
        </w:rPr>
        <w:t xml:space="preserve"> UR. </w:t>
      </w:r>
    </w:p>
    <w:p w14:paraId="20BCDEB9" w14:textId="77777777" w:rsidR="000005E1" w:rsidRPr="00CB7B11" w:rsidRDefault="00E205F2" w:rsidP="00C4063C">
      <w:pPr>
        <w:spacing w:after="0"/>
        <w:jc w:val="both"/>
        <w:rPr>
          <w:rFonts w:asciiTheme="majorHAnsi" w:hAnsiTheme="majorHAnsi"/>
          <w:sz w:val="24"/>
          <w:szCs w:val="24"/>
        </w:rPr>
      </w:pPr>
      <w:r w:rsidRPr="00CB7B11">
        <w:rPr>
          <w:rFonts w:asciiTheme="majorHAnsi" w:hAnsiTheme="majorHAnsi"/>
          <w:sz w:val="24"/>
          <w:szCs w:val="24"/>
        </w:rPr>
        <w:t xml:space="preserve">W sprawach wymagających dodatkowych wyjaśnień programowych lub przebiegu praktyki należy skontaktować się z koordynatorem zawodowych praktyk studenckich w Instytucie Nauk o Polityce </w:t>
      </w:r>
      <w:r w:rsidR="00AA37CB" w:rsidRPr="00CB7B11">
        <w:rPr>
          <w:rFonts w:asciiTheme="majorHAnsi" w:hAnsiTheme="majorHAnsi"/>
          <w:sz w:val="24"/>
          <w:szCs w:val="24"/>
        </w:rPr>
        <w:t xml:space="preserve">i Bezpieczeństwie </w:t>
      </w:r>
      <w:r w:rsidRPr="00CB7B11">
        <w:rPr>
          <w:rFonts w:asciiTheme="majorHAnsi" w:hAnsiTheme="majorHAnsi"/>
          <w:sz w:val="24"/>
          <w:szCs w:val="24"/>
        </w:rPr>
        <w:t xml:space="preserve">UR lub z sekretariatem Instytutu Nauk o Polityce </w:t>
      </w:r>
      <w:r w:rsidR="00AA37CB" w:rsidRPr="00CB7B11">
        <w:rPr>
          <w:rFonts w:asciiTheme="majorHAnsi" w:hAnsiTheme="majorHAnsi"/>
          <w:sz w:val="24"/>
          <w:szCs w:val="24"/>
        </w:rPr>
        <w:t xml:space="preserve">i Bezpieczeństwie </w:t>
      </w:r>
      <w:r w:rsidRPr="00CB7B11">
        <w:rPr>
          <w:rFonts w:asciiTheme="majorHAnsi" w:hAnsiTheme="majorHAnsi"/>
          <w:sz w:val="24"/>
          <w:szCs w:val="24"/>
        </w:rPr>
        <w:t>UR, al. mjr. W. Kopisto 2a, 35–959 Rzeszów</w:t>
      </w:r>
      <w:r w:rsidR="000005E1" w:rsidRPr="00CB7B11">
        <w:rPr>
          <w:rFonts w:asciiTheme="majorHAnsi" w:hAnsiTheme="majorHAnsi"/>
          <w:sz w:val="24"/>
          <w:szCs w:val="24"/>
        </w:rPr>
        <w:t>.</w:t>
      </w:r>
    </w:p>
    <w:p w14:paraId="07665701" w14:textId="77777777" w:rsidR="00982FC5" w:rsidRPr="00CB7B11" w:rsidRDefault="00982FC5" w:rsidP="00C4063C">
      <w:pPr>
        <w:spacing w:after="0"/>
        <w:jc w:val="both"/>
        <w:rPr>
          <w:rFonts w:asciiTheme="majorHAnsi" w:hAnsiTheme="majorHAnsi"/>
          <w:sz w:val="24"/>
          <w:szCs w:val="24"/>
          <w:u w:val="single"/>
        </w:rPr>
      </w:pPr>
    </w:p>
    <w:p w14:paraId="72A3090A" w14:textId="0E8B0C5F" w:rsidR="00F264A4" w:rsidRPr="00CB7B11" w:rsidRDefault="00F264A4" w:rsidP="00C4063C">
      <w:pPr>
        <w:spacing w:after="0"/>
        <w:jc w:val="both"/>
        <w:rPr>
          <w:rFonts w:asciiTheme="majorHAnsi" w:hAnsiTheme="majorHAnsi"/>
          <w:sz w:val="24"/>
          <w:szCs w:val="24"/>
          <w:u w:val="single"/>
        </w:rPr>
      </w:pPr>
      <w:r w:rsidRPr="00CB7B11">
        <w:rPr>
          <w:rFonts w:asciiTheme="majorHAnsi" w:hAnsiTheme="majorHAnsi"/>
          <w:sz w:val="24"/>
          <w:szCs w:val="24"/>
          <w:u w:val="single"/>
        </w:rPr>
        <w:t>Dokumentacja powinna zawierać:</w:t>
      </w:r>
    </w:p>
    <w:p w14:paraId="739EBBB1" w14:textId="794E3DE8" w:rsidR="00F264A4" w:rsidRPr="00CB7B11" w:rsidRDefault="000005E1" w:rsidP="00C4063C">
      <w:pPr>
        <w:jc w:val="both"/>
        <w:rPr>
          <w:rFonts w:asciiTheme="majorHAnsi" w:hAnsiTheme="majorHAnsi"/>
          <w:sz w:val="24"/>
          <w:szCs w:val="24"/>
        </w:rPr>
      </w:pPr>
      <w:r w:rsidRPr="00CB7B11">
        <w:rPr>
          <w:rFonts w:asciiTheme="majorHAnsi" w:hAnsiTheme="majorHAnsi"/>
          <w:sz w:val="24"/>
          <w:szCs w:val="24"/>
        </w:rPr>
        <w:t xml:space="preserve">Dziennik praktyki </w:t>
      </w:r>
      <w:r w:rsidR="00982FC5" w:rsidRPr="00CB7B11">
        <w:rPr>
          <w:rFonts w:asciiTheme="majorHAnsi" w:hAnsiTheme="majorHAnsi"/>
          <w:sz w:val="24"/>
          <w:szCs w:val="24"/>
        </w:rPr>
        <w:t>zawierający szczegółowy przebieg realizacji praktyki pot</w:t>
      </w:r>
      <w:r w:rsidR="00D72A2F" w:rsidRPr="00CB7B11">
        <w:rPr>
          <w:rFonts w:asciiTheme="majorHAnsi" w:hAnsiTheme="majorHAnsi"/>
          <w:sz w:val="24"/>
          <w:szCs w:val="24"/>
        </w:rPr>
        <w:t xml:space="preserve">wierdzony przez opiekuna zakładowego wraz z jego opinią o praktykancie. </w:t>
      </w:r>
    </w:p>
    <w:p w14:paraId="2B936745" w14:textId="77777777" w:rsidR="00F264A4" w:rsidRPr="00CB7B11" w:rsidRDefault="00F264A4" w:rsidP="00CB7B11">
      <w:pPr>
        <w:spacing w:line="360" w:lineRule="auto"/>
        <w:jc w:val="both"/>
        <w:rPr>
          <w:rFonts w:asciiTheme="majorHAnsi" w:hAnsiTheme="majorHAnsi"/>
          <w:sz w:val="24"/>
          <w:szCs w:val="24"/>
        </w:rPr>
      </w:pPr>
    </w:p>
    <w:p w14:paraId="50ED802E" w14:textId="0A052447" w:rsidR="00F264A4" w:rsidRPr="00CB7B11" w:rsidRDefault="00F264A4" w:rsidP="00CB7B11">
      <w:pPr>
        <w:spacing w:after="0" w:line="360" w:lineRule="auto"/>
        <w:jc w:val="both"/>
        <w:rPr>
          <w:rFonts w:asciiTheme="majorHAnsi" w:hAnsiTheme="majorHAnsi"/>
          <w:sz w:val="24"/>
          <w:szCs w:val="24"/>
        </w:rPr>
      </w:pPr>
      <w:r w:rsidRPr="00CB7B11">
        <w:rPr>
          <w:rFonts w:asciiTheme="majorHAnsi" w:hAnsiTheme="majorHAnsi"/>
          <w:b/>
          <w:sz w:val="24"/>
          <w:szCs w:val="24"/>
        </w:rPr>
        <w:t>Opracował</w:t>
      </w:r>
      <w:r w:rsidRPr="00CB7B11">
        <w:rPr>
          <w:rFonts w:asciiTheme="majorHAnsi" w:hAnsiTheme="majorHAnsi"/>
          <w:sz w:val="24"/>
          <w:szCs w:val="24"/>
        </w:rPr>
        <w:t>:</w:t>
      </w:r>
      <w:r w:rsidR="00336677" w:rsidRPr="00CB7B11">
        <w:rPr>
          <w:rFonts w:asciiTheme="majorHAnsi" w:hAnsiTheme="majorHAnsi"/>
          <w:sz w:val="24"/>
          <w:szCs w:val="24"/>
        </w:rPr>
        <w:t xml:space="preserve"> </w:t>
      </w:r>
      <w:r w:rsidR="00A4077E" w:rsidRPr="00CB7B11">
        <w:rPr>
          <w:rFonts w:asciiTheme="majorHAnsi" w:hAnsiTheme="majorHAnsi"/>
          <w:sz w:val="24"/>
          <w:szCs w:val="24"/>
        </w:rPr>
        <w:t>Dominik Boratyn</w:t>
      </w:r>
    </w:p>
    <w:p w14:paraId="425B54CE" w14:textId="77777777" w:rsidR="00F264A4" w:rsidRPr="00CB7B11" w:rsidRDefault="00F264A4" w:rsidP="00CB7B11">
      <w:pPr>
        <w:spacing w:line="360" w:lineRule="auto"/>
        <w:jc w:val="both"/>
        <w:rPr>
          <w:rFonts w:asciiTheme="majorHAnsi" w:hAnsiTheme="majorHAnsi"/>
          <w:sz w:val="24"/>
          <w:szCs w:val="24"/>
        </w:rPr>
      </w:pPr>
      <w:r w:rsidRPr="00CB7B11">
        <w:rPr>
          <w:rFonts w:asciiTheme="majorHAnsi" w:hAnsiTheme="majorHAnsi"/>
          <w:sz w:val="24"/>
          <w:szCs w:val="24"/>
        </w:rPr>
        <w:t>(</w:t>
      </w:r>
      <w:r w:rsidRPr="00CB7B11">
        <w:rPr>
          <w:rFonts w:asciiTheme="majorHAnsi" w:hAnsiTheme="majorHAnsi"/>
          <w:b/>
          <w:sz w:val="24"/>
          <w:szCs w:val="24"/>
        </w:rPr>
        <w:t>koordynator praktyki)</w:t>
      </w:r>
    </w:p>
    <w:p w14:paraId="44D1327C" w14:textId="77777777" w:rsidR="00F264A4" w:rsidRPr="00275532" w:rsidRDefault="00F264A4" w:rsidP="00F264A4">
      <w:pPr>
        <w:rPr>
          <w:sz w:val="24"/>
          <w:szCs w:val="24"/>
        </w:rPr>
      </w:pPr>
    </w:p>
    <w:p w14:paraId="288A9C1C" w14:textId="77777777" w:rsidR="00F264A4" w:rsidRPr="00275532" w:rsidRDefault="00F264A4" w:rsidP="00F264A4">
      <w:pPr>
        <w:rPr>
          <w:sz w:val="24"/>
          <w:szCs w:val="24"/>
        </w:rPr>
      </w:pPr>
      <w:r w:rsidRPr="00275532">
        <w:rPr>
          <w:sz w:val="24"/>
          <w:szCs w:val="24"/>
        </w:rPr>
        <w:t xml:space="preserve">                                                                                                         ……………………………………………………</w:t>
      </w:r>
    </w:p>
    <w:p w14:paraId="6893A893" w14:textId="757B4AE5" w:rsidR="00F264A4" w:rsidRPr="00275532" w:rsidRDefault="00F264A4" w:rsidP="00F264A4">
      <w:pPr>
        <w:tabs>
          <w:tab w:val="left" w:pos="5910"/>
        </w:tabs>
        <w:rPr>
          <w:sz w:val="24"/>
          <w:szCs w:val="24"/>
        </w:rPr>
      </w:pPr>
      <w:r w:rsidRPr="00275532">
        <w:rPr>
          <w:sz w:val="24"/>
          <w:szCs w:val="24"/>
        </w:rPr>
        <w:tab/>
      </w:r>
      <w:r w:rsidRPr="00275532">
        <w:rPr>
          <w:b/>
          <w:sz w:val="24"/>
          <w:szCs w:val="24"/>
        </w:rPr>
        <w:t xml:space="preserve">Akceptacja Dziekan </w:t>
      </w:r>
      <w:r w:rsidR="005F7EB5" w:rsidRPr="00275532">
        <w:rPr>
          <w:b/>
          <w:sz w:val="24"/>
          <w:szCs w:val="24"/>
        </w:rPr>
        <w:t>Wydziału</w:t>
      </w:r>
    </w:p>
    <w:p w14:paraId="4E34234D" w14:textId="77777777" w:rsidR="00E53792" w:rsidRPr="00E53792" w:rsidRDefault="00E53792" w:rsidP="00E53792"/>
    <w:sectPr w:rsidR="00E53792" w:rsidRPr="00E53792" w:rsidSect="00FB4780">
      <w:headerReference w:type="default" r:id="rId6"/>
      <w:footerReference w:type="default" r:id="rId7"/>
      <w:pgSz w:w="11906" w:h="16838"/>
      <w:pgMar w:top="1949" w:right="1417" w:bottom="1022" w:left="1417" w:header="0" w:footer="284"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18085" w14:textId="77777777" w:rsidR="00CD354D" w:rsidRDefault="00CD354D" w:rsidP="00FB4780">
      <w:pPr>
        <w:spacing w:after="0" w:line="240" w:lineRule="auto"/>
      </w:pPr>
      <w:r>
        <w:separator/>
      </w:r>
    </w:p>
  </w:endnote>
  <w:endnote w:type="continuationSeparator" w:id="0">
    <w:p w14:paraId="02F6BBF9" w14:textId="77777777" w:rsidR="00CD354D" w:rsidRDefault="00CD354D" w:rsidP="00FB4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2E435" w14:textId="583E4A5A" w:rsidR="001D7F28" w:rsidRPr="001D7F28" w:rsidRDefault="001D7F28" w:rsidP="00C84394">
    <w:pPr>
      <w:pStyle w:val="Stopka"/>
      <w:ind w:left="-709"/>
      <w:rPr>
        <w:rFonts w:ascii="Corbel" w:hAnsi="Corbel"/>
        <w:color w:val="004D9E"/>
        <w:sz w:val="18"/>
        <w:szCs w:val="18"/>
      </w:rPr>
    </w:pPr>
    <w:r w:rsidRPr="00F264A4">
      <w:rPr>
        <w:rFonts w:ascii="Corbel" w:hAnsi="Corbel"/>
        <w:color w:val="0033A0"/>
        <w:sz w:val="18"/>
        <w:szCs w:val="18"/>
      </w:rPr>
      <w:t>Uniwersytet Rzeszowski</w:t>
    </w:r>
    <w:r w:rsidRPr="00F264A4">
      <w:rPr>
        <w:rFonts w:ascii="Corbel" w:hAnsi="Corbel"/>
        <w:color w:val="0033A0"/>
        <w:sz w:val="18"/>
        <w:szCs w:val="18"/>
      </w:rPr>
      <w:br/>
    </w:r>
    <w:r w:rsidR="00196B4A" w:rsidRPr="001D7F28">
      <w:rPr>
        <w:rFonts w:ascii="Corbel" w:hAnsi="Corbel"/>
        <w:noProof/>
        <w:color w:val="0033A0"/>
        <w:sz w:val="18"/>
        <w:szCs w:val="18"/>
        <w:lang w:eastAsia="pl-PL"/>
      </w:rPr>
      <w:drawing>
        <wp:anchor distT="0" distB="0" distL="114300" distR="114300" simplePos="0" relativeHeight="251657728" behindDoc="1" locked="0" layoutInCell="1" allowOverlap="1" wp14:anchorId="62D009F8" wp14:editId="1993FC00">
          <wp:simplePos x="0" y="0"/>
          <wp:positionH relativeFrom="column">
            <wp:posOffset>5596255</wp:posOffset>
          </wp:positionH>
          <wp:positionV relativeFrom="paragraph">
            <wp:posOffset>19050</wp:posOffset>
          </wp:positionV>
          <wp:extent cx="847725" cy="573845"/>
          <wp:effectExtent l="0" t="0" r="0" b="0"/>
          <wp:wrapNone/>
          <wp:docPr id="4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73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D7F28">
      <w:rPr>
        <w:rFonts w:ascii="Corbel" w:hAnsi="Corbel"/>
        <w:color w:val="004D9E"/>
        <w:sz w:val="18"/>
        <w:szCs w:val="18"/>
      </w:rPr>
      <w:t>al.</w:t>
    </w:r>
    <w:r>
      <w:rPr>
        <w:rFonts w:ascii="Corbel" w:hAnsi="Corbel"/>
        <w:color w:val="004D9E"/>
        <w:sz w:val="18"/>
        <w:szCs w:val="18"/>
      </w:rPr>
      <w:t xml:space="preserve"> T.</w:t>
    </w:r>
    <w:r w:rsidRPr="001D7F28">
      <w:rPr>
        <w:rFonts w:ascii="Corbel" w:hAnsi="Corbel"/>
        <w:color w:val="004D9E"/>
        <w:sz w:val="18"/>
        <w:szCs w:val="18"/>
      </w:rPr>
      <w:t xml:space="preserve"> Rejtana 16c, 35-959 Rzeszów</w:t>
    </w:r>
  </w:p>
  <w:p w14:paraId="3CC98F6F" w14:textId="58EBB355" w:rsidR="001D7F28" w:rsidRPr="001D7F28" w:rsidRDefault="001D7F28" w:rsidP="00C84394">
    <w:pPr>
      <w:pStyle w:val="Stopka"/>
      <w:ind w:left="-709"/>
      <w:rPr>
        <w:rFonts w:ascii="Corbel" w:hAnsi="Corbel"/>
        <w:color w:val="004D9E"/>
        <w:sz w:val="18"/>
        <w:szCs w:val="18"/>
      </w:rPr>
    </w:pPr>
    <w:r w:rsidRPr="001D7F28">
      <w:rPr>
        <w:rFonts w:ascii="Corbel" w:hAnsi="Corbel"/>
        <w:color w:val="004D9E"/>
        <w:sz w:val="18"/>
        <w:szCs w:val="18"/>
      </w:rPr>
      <w:t>(17) 872 10</w:t>
    </w:r>
    <w:r w:rsidR="0007135B">
      <w:rPr>
        <w:rFonts w:ascii="Corbel" w:hAnsi="Corbel"/>
        <w:color w:val="004D9E"/>
        <w:sz w:val="18"/>
        <w:szCs w:val="18"/>
      </w:rPr>
      <w:t xml:space="preserve"> </w:t>
    </w:r>
    <w:r w:rsidRPr="001D7F28">
      <w:rPr>
        <w:rFonts w:ascii="Corbel" w:hAnsi="Corbel"/>
        <w:color w:val="004D9E"/>
        <w:sz w:val="18"/>
        <w:szCs w:val="18"/>
      </w:rPr>
      <w:t>10, faks: (17) 872 12</w:t>
    </w:r>
    <w:r w:rsidR="0007135B">
      <w:rPr>
        <w:rFonts w:ascii="Corbel" w:hAnsi="Corbel"/>
        <w:color w:val="004D9E"/>
        <w:sz w:val="18"/>
        <w:szCs w:val="18"/>
      </w:rPr>
      <w:t xml:space="preserve"> </w:t>
    </w:r>
    <w:r w:rsidRPr="001D7F28">
      <w:rPr>
        <w:rFonts w:ascii="Corbel" w:hAnsi="Corbel"/>
        <w:color w:val="004D9E"/>
        <w:sz w:val="18"/>
        <w:szCs w:val="18"/>
      </w:rPr>
      <w:t>65</w:t>
    </w:r>
  </w:p>
  <w:p w14:paraId="2C9191DC" w14:textId="0A2E1466" w:rsidR="00FB4780" w:rsidRPr="00462419" w:rsidRDefault="001D7F28" w:rsidP="00C84394">
    <w:pPr>
      <w:pStyle w:val="Stopka"/>
      <w:ind w:left="-1276" w:firstLine="567"/>
    </w:pPr>
    <w:r w:rsidRPr="001D7F28">
      <w:rPr>
        <w:rFonts w:ascii="Corbel" w:hAnsi="Corbel"/>
        <w:color w:val="004D9E"/>
        <w:sz w:val="18"/>
        <w:szCs w:val="18"/>
      </w:rPr>
      <w:t>info@ur.edu.pl, www.ur.edu.pl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1A426" w14:textId="77777777" w:rsidR="00CD354D" w:rsidRDefault="00CD354D" w:rsidP="00FB4780">
      <w:pPr>
        <w:spacing w:after="0" w:line="240" w:lineRule="auto"/>
      </w:pPr>
      <w:r>
        <w:separator/>
      </w:r>
    </w:p>
  </w:footnote>
  <w:footnote w:type="continuationSeparator" w:id="0">
    <w:p w14:paraId="6A9E5D8F" w14:textId="77777777" w:rsidR="00CD354D" w:rsidRDefault="00CD354D" w:rsidP="00FB4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990E3" w14:textId="45C60AD2" w:rsidR="00FB4780" w:rsidRPr="00A859A3" w:rsidRDefault="00665DDD" w:rsidP="00890BCB">
    <w:pPr>
      <w:pStyle w:val="Nagwek1"/>
      <w:ind w:left="-709"/>
      <w:rPr>
        <w:color w:val="0033A0"/>
      </w:rPr>
    </w:pPr>
    <w:r>
      <w:rPr>
        <w:noProof/>
        <w:lang w:eastAsia="pl-PL"/>
      </w:rPr>
      <w:drawing>
        <wp:anchor distT="0" distB="0" distL="114300" distR="114300" simplePos="0" relativeHeight="2" behindDoc="1" locked="0" layoutInCell="1" allowOverlap="1" wp14:anchorId="3CA9C097" wp14:editId="574E47A8">
          <wp:simplePos x="0" y="0"/>
          <wp:positionH relativeFrom="page">
            <wp:posOffset>6477990</wp:posOffset>
          </wp:positionH>
          <wp:positionV relativeFrom="page">
            <wp:posOffset>166255</wp:posOffset>
          </wp:positionV>
          <wp:extent cx="745490" cy="745490"/>
          <wp:effectExtent l="19050" t="0" r="0" b="0"/>
          <wp:wrapNone/>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5"/>
                  <pic:cNvPicPr>
                    <a:picLocks noChangeAspect="1" noChangeArrowheads="1"/>
                  </pic:cNvPicPr>
                </pic:nvPicPr>
                <pic:blipFill>
                  <a:blip r:embed="rId1"/>
                  <a:stretch>
                    <a:fillRect/>
                  </a:stretch>
                </pic:blipFill>
                <pic:spPr bwMode="auto">
                  <a:xfrm>
                    <a:off x="0" y="0"/>
                    <a:ext cx="745490" cy="745490"/>
                  </a:xfrm>
                  <a:prstGeom prst="rect">
                    <a:avLst/>
                  </a:prstGeom>
                </pic:spPr>
              </pic:pic>
            </a:graphicData>
          </a:graphic>
        </wp:anchor>
      </w:drawing>
    </w:r>
    <w:r>
      <w:rPr>
        <w:color w:val="000099"/>
        <w:sz w:val="24"/>
        <w:szCs w:val="24"/>
      </w:rPr>
      <w:br/>
    </w:r>
    <w:r>
      <w:rPr>
        <w:color w:val="000099"/>
        <w:sz w:val="24"/>
        <w:szCs w:val="24"/>
      </w:rPr>
      <w:br/>
    </w:r>
    <w:r w:rsidRPr="00A859A3">
      <w:rPr>
        <w:color w:val="0033A0"/>
        <w:sz w:val="24"/>
        <w:szCs w:val="24"/>
      </w:rPr>
      <w:br/>
    </w:r>
    <w:r w:rsidR="00462419" w:rsidRPr="00A859A3">
      <w:rPr>
        <w:color w:val="0033A0"/>
        <w:sz w:val="24"/>
        <w:szCs w:val="24"/>
      </w:rPr>
      <w:br/>
    </w:r>
    <w:bookmarkStart w:id="0" w:name="__DdeLink__55_2852733635"/>
    <w:r w:rsidR="00462419" w:rsidRPr="005940DB">
      <w:rPr>
        <w:bCs/>
        <w:color w:val="0033A0"/>
        <w:sz w:val="24"/>
        <w:szCs w:val="24"/>
      </w:rPr>
      <w:t>Uniwersytet Rzeszowski</w:t>
    </w:r>
    <w:r w:rsidR="00462419">
      <w:rPr>
        <w:color w:val="0033A0"/>
        <w:sz w:val="24"/>
        <w:szCs w:val="24"/>
      </w:rPr>
      <w:br/>
    </w:r>
    <w:bookmarkEnd w:id="0"/>
    <w:r w:rsidR="002C6147">
      <w:rPr>
        <w:b/>
        <w:color w:val="0033A0"/>
        <w:sz w:val="24"/>
        <w:szCs w:val="24"/>
      </w:rPr>
      <w:t>Wydział Nauk Społecznych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780"/>
    <w:rsid w:val="000005E1"/>
    <w:rsid w:val="00014727"/>
    <w:rsid w:val="00032341"/>
    <w:rsid w:val="000367D7"/>
    <w:rsid w:val="00046411"/>
    <w:rsid w:val="0007135B"/>
    <w:rsid w:val="000729DD"/>
    <w:rsid w:val="0009432F"/>
    <w:rsid w:val="000B458D"/>
    <w:rsid w:val="00196B4A"/>
    <w:rsid w:val="001A5659"/>
    <w:rsid w:val="001C2CB9"/>
    <w:rsid w:val="001D7F28"/>
    <w:rsid w:val="0027163E"/>
    <w:rsid w:val="00275532"/>
    <w:rsid w:val="002C6147"/>
    <w:rsid w:val="00325E69"/>
    <w:rsid w:val="00336677"/>
    <w:rsid w:val="003B346C"/>
    <w:rsid w:val="00406866"/>
    <w:rsid w:val="00462419"/>
    <w:rsid w:val="004C36E1"/>
    <w:rsid w:val="004C3BEE"/>
    <w:rsid w:val="004D5940"/>
    <w:rsid w:val="004F6FAF"/>
    <w:rsid w:val="00511CF5"/>
    <w:rsid w:val="00550C60"/>
    <w:rsid w:val="005A0479"/>
    <w:rsid w:val="005C1BB4"/>
    <w:rsid w:val="005F7EB5"/>
    <w:rsid w:val="00665DDD"/>
    <w:rsid w:val="006A2F60"/>
    <w:rsid w:val="006F5566"/>
    <w:rsid w:val="007171A4"/>
    <w:rsid w:val="008443B4"/>
    <w:rsid w:val="008570EE"/>
    <w:rsid w:val="008571F3"/>
    <w:rsid w:val="00890BCB"/>
    <w:rsid w:val="00906630"/>
    <w:rsid w:val="00912BF3"/>
    <w:rsid w:val="009300EF"/>
    <w:rsid w:val="009504C6"/>
    <w:rsid w:val="00982FC5"/>
    <w:rsid w:val="00984D2C"/>
    <w:rsid w:val="00995BDB"/>
    <w:rsid w:val="009A3013"/>
    <w:rsid w:val="009F03E7"/>
    <w:rsid w:val="00A01652"/>
    <w:rsid w:val="00A326E2"/>
    <w:rsid w:val="00A3717B"/>
    <w:rsid w:val="00A4077E"/>
    <w:rsid w:val="00A53D1B"/>
    <w:rsid w:val="00A84FCC"/>
    <w:rsid w:val="00A859A3"/>
    <w:rsid w:val="00A967D7"/>
    <w:rsid w:val="00AA37CB"/>
    <w:rsid w:val="00B306B3"/>
    <w:rsid w:val="00C4063C"/>
    <w:rsid w:val="00C45AF8"/>
    <w:rsid w:val="00C84394"/>
    <w:rsid w:val="00C978E6"/>
    <w:rsid w:val="00CB7B11"/>
    <w:rsid w:val="00CD354D"/>
    <w:rsid w:val="00D27397"/>
    <w:rsid w:val="00D57E13"/>
    <w:rsid w:val="00D72A2F"/>
    <w:rsid w:val="00DA7878"/>
    <w:rsid w:val="00DC383F"/>
    <w:rsid w:val="00E205F2"/>
    <w:rsid w:val="00E53792"/>
    <w:rsid w:val="00E555CE"/>
    <w:rsid w:val="00EA4931"/>
    <w:rsid w:val="00EC5DE7"/>
    <w:rsid w:val="00F264A4"/>
    <w:rsid w:val="00F94CE3"/>
    <w:rsid w:val="00FB4780"/>
    <w:rsid w:val="00FC131D"/>
    <w:rsid w:val="00FE1432"/>
    <w:rsid w:val="00FE6318"/>
    <w:rsid w:val="00FF5A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99BB7"/>
  <w15:docId w15:val="{1D87F823-5D3F-4B25-BDC2-0AAC5483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3DE2"/>
    <w:pPr>
      <w:spacing w:after="200" w:line="276" w:lineRule="auto"/>
    </w:pPr>
    <w:rPr>
      <w:rFonts w:cs="Times New Roman"/>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6F29C5"/>
  </w:style>
  <w:style w:type="character" w:customStyle="1" w:styleId="StopkaZnak">
    <w:name w:val="Stopka Znak"/>
    <w:basedOn w:val="Domylnaczcionkaakapitu"/>
    <w:link w:val="Stopka1"/>
    <w:qFormat/>
    <w:rsid w:val="006F29C5"/>
  </w:style>
  <w:style w:type="character" w:customStyle="1" w:styleId="TekstdymkaZnak">
    <w:name w:val="Tekst dymka Znak"/>
    <w:basedOn w:val="Domylnaczcionkaakapitu"/>
    <w:link w:val="Tekstdymka"/>
    <w:uiPriority w:val="99"/>
    <w:semiHidden/>
    <w:qFormat/>
    <w:rsid w:val="006F29C5"/>
    <w:rPr>
      <w:rFonts w:ascii="Tahoma" w:hAnsi="Tahoma" w:cs="Tahoma"/>
      <w:sz w:val="16"/>
      <w:szCs w:val="16"/>
    </w:rPr>
  </w:style>
  <w:style w:type="paragraph" w:styleId="Nagwek">
    <w:name w:val="header"/>
    <w:basedOn w:val="Normalny"/>
    <w:next w:val="Tekstpodstawowy"/>
    <w:link w:val="NagwekZnak"/>
    <w:qFormat/>
    <w:rsid w:val="00FB4780"/>
    <w:pPr>
      <w:keepNext/>
      <w:spacing w:before="240" w:after="120"/>
    </w:pPr>
    <w:rPr>
      <w:rFonts w:ascii="Liberation Sans" w:eastAsia="Microsoft YaHei" w:hAnsi="Liberation Sans" w:cs="Lucida Sans"/>
      <w:sz w:val="28"/>
      <w:szCs w:val="28"/>
    </w:rPr>
  </w:style>
  <w:style w:type="paragraph" w:styleId="Tekstpodstawowy">
    <w:name w:val="Body Text"/>
    <w:basedOn w:val="Normalny"/>
    <w:rsid w:val="00FB4780"/>
    <w:pPr>
      <w:spacing w:after="140"/>
    </w:pPr>
  </w:style>
  <w:style w:type="paragraph" w:styleId="Lista">
    <w:name w:val="List"/>
    <w:basedOn w:val="Tekstpodstawowy"/>
    <w:rsid w:val="00FB4780"/>
    <w:rPr>
      <w:rFonts w:cs="Lucida Sans"/>
    </w:rPr>
  </w:style>
  <w:style w:type="paragraph" w:customStyle="1" w:styleId="Legenda1">
    <w:name w:val="Legenda1"/>
    <w:basedOn w:val="Normalny"/>
    <w:qFormat/>
    <w:rsid w:val="00FB4780"/>
    <w:pPr>
      <w:suppressLineNumbers/>
      <w:spacing w:before="120" w:after="120"/>
    </w:pPr>
    <w:rPr>
      <w:rFonts w:cs="Lucida Sans"/>
      <w:i/>
      <w:iCs/>
      <w:sz w:val="24"/>
      <w:szCs w:val="24"/>
    </w:rPr>
  </w:style>
  <w:style w:type="paragraph" w:customStyle="1" w:styleId="Indeks">
    <w:name w:val="Indeks"/>
    <w:basedOn w:val="Normalny"/>
    <w:qFormat/>
    <w:rsid w:val="00FB4780"/>
    <w:pPr>
      <w:suppressLineNumbers/>
    </w:pPr>
    <w:rPr>
      <w:rFonts w:cs="Lucida Sans"/>
    </w:rPr>
  </w:style>
  <w:style w:type="paragraph" w:customStyle="1" w:styleId="Nagwek1">
    <w:name w:val="Nagłówek1"/>
    <w:basedOn w:val="Normalny"/>
    <w:uiPriority w:val="99"/>
    <w:unhideWhenUsed/>
    <w:rsid w:val="006F29C5"/>
    <w:pPr>
      <w:tabs>
        <w:tab w:val="center" w:pos="4536"/>
        <w:tab w:val="right" w:pos="9072"/>
      </w:tabs>
      <w:spacing w:after="0" w:line="240" w:lineRule="auto"/>
    </w:pPr>
    <w:rPr>
      <w:rFonts w:cstheme="minorBidi"/>
    </w:rPr>
  </w:style>
  <w:style w:type="paragraph" w:customStyle="1" w:styleId="Stopka1">
    <w:name w:val="Stopka1"/>
    <w:basedOn w:val="Normalny"/>
    <w:link w:val="StopkaZnak"/>
    <w:uiPriority w:val="99"/>
    <w:unhideWhenUsed/>
    <w:rsid w:val="006F29C5"/>
    <w:pPr>
      <w:tabs>
        <w:tab w:val="center" w:pos="4536"/>
        <w:tab w:val="right" w:pos="9072"/>
      </w:tabs>
      <w:spacing w:after="0" w:line="240" w:lineRule="auto"/>
    </w:pPr>
    <w:rPr>
      <w:rFonts w:cstheme="minorBidi"/>
    </w:rPr>
  </w:style>
  <w:style w:type="paragraph" w:styleId="Tekstdymka">
    <w:name w:val="Balloon Text"/>
    <w:basedOn w:val="Normalny"/>
    <w:link w:val="TekstdymkaZnak"/>
    <w:uiPriority w:val="99"/>
    <w:semiHidden/>
    <w:unhideWhenUsed/>
    <w:qFormat/>
    <w:rsid w:val="006F29C5"/>
    <w:pPr>
      <w:spacing w:after="0" w:line="240" w:lineRule="auto"/>
    </w:pPr>
    <w:rPr>
      <w:rFonts w:ascii="Tahoma" w:hAnsi="Tahoma" w:cs="Tahoma"/>
      <w:sz w:val="16"/>
      <w:szCs w:val="16"/>
    </w:rPr>
  </w:style>
  <w:style w:type="paragraph" w:styleId="Stopka">
    <w:name w:val="footer"/>
    <w:basedOn w:val="Normalny"/>
    <w:link w:val="StopkaZnak1"/>
    <w:unhideWhenUsed/>
    <w:rsid w:val="00890BCB"/>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890BCB"/>
    <w:rPr>
      <w:rFonts w:cs="Times New Roman"/>
      <w:sz w:val="22"/>
    </w:rPr>
  </w:style>
  <w:style w:type="paragraph" w:styleId="Akapitzlist">
    <w:name w:val="List Paragraph"/>
    <w:basedOn w:val="Normalny"/>
    <w:uiPriority w:val="34"/>
    <w:qFormat/>
    <w:rsid w:val="00F264A4"/>
    <w:pPr>
      <w:ind w:left="720"/>
      <w:contextualSpacing/>
    </w:pPr>
    <w:rPr>
      <w:rFonts w:ascii="Calibri" w:eastAsia="Calibri" w:hAnsi="Calibri"/>
    </w:rPr>
  </w:style>
  <w:style w:type="paragraph" w:customStyle="1" w:styleId="Default">
    <w:name w:val="Default"/>
    <w:rsid w:val="008571F3"/>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908</Words>
  <Characters>5453</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tigala</dc:creator>
  <dc:description/>
  <cp:lastModifiedBy>Ewa Pogorzała</cp:lastModifiedBy>
  <cp:revision>55</cp:revision>
  <cp:lastPrinted>2015-11-16T15:44:00Z</cp:lastPrinted>
  <dcterms:created xsi:type="dcterms:W3CDTF">2025-08-27T13:42:00Z</dcterms:created>
  <dcterms:modified xsi:type="dcterms:W3CDTF">2025-08-27T15:12:00Z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