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51" w:rsidRPr="00B46512" w:rsidRDefault="00A75D51" w:rsidP="00A75D51">
      <w:pPr>
        <w:pStyle w:val="Nagwek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35735658"/>
      <w:r w:rsidRPr="00B46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STRESZCZENIE ROZPRAWY W JĘZYKU POLSKIM</w:t>
      </w:r>
      <w:bookmarkEnd w:id="0"/>
    </w:p>
    <w:p w:rsidR="00A75D51" w:rsidRDefault="00A75D51" w:rsidP="00A75D51">
      <w:pPr>
        <w:spacing w:line="360" w:lineRule="auto"/>
        <w:jc w:val="both"/>
        <w:rPr>
          <w:b/>
        </w:rPr>
      </w:pPr>
    </w:p>
    <w:p w:rsidR="00A75D51" w:rsidRPr="005F3660" w:rsidRDefault="00A75D51" w:rsidP="00A75D51">
      <w:pPr>
        <w:pStyle w:val="MDPI17abstract"/>
        <w:spacing w:line="36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5F3660">
        <w:rPr>
          <w:rFonts w:ascii="Times New Roman" w:hAnsi="Times New Roman"/>
          <w:sz w:val="24"/>
          <w:szCs w:val="24"/>
          <w:lang w:val="pl-PL"/>
        </w:rPr>
        <w:t xml:space="preserve">Wstęp: Choroba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Leśniowskiego-Crohna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 jest nieswoistą chorobą zapalną jelit, która jest przewlekłą chorobą obejmującą jelito kręte i/lub jelito grube. Jednocześnie może dotyczyć każdej innej części ludzkiego ciała, czyli od ust do odbytu. Objawy są bardzo uciążliwe i powodują znaczne obniżenie jakości życia, a czasem nawet kalectwo i trwałe uszkodzenie przewodu pokarmowego, który do końca życia wymaga żywienia dojelitowego lub pozajelitowego.</w:t>
      </w:r>
    </w:p>
    <w:p w:rsidR="00A75D51" w:rsidRPr="005F3660" w:rsidRDefault="00A75D51" w:rsidP="00A75D51">
      <w:pPr>
        <w:pStyle w:val="MDPI17abstract"/>
        <w:spacing w:line="36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5F3660">
        <w:rPr>
          <w:rFonts w:ascii="Times New Roman" w:hAnsi="Times New Roman"/>
          <w:sz w:val="24"/>
          <w:szCs w:val="24"/>
          <w:lang w:val="pl-PL"/>
        </w:rPr>
        <w:t xml:space="preserve">Cel: Celem pracy było zbadanie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metaloproteinaz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 tkankowych jako markerów nawrotu choroby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Leśniowskiego-Crohna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>.</w:t>
      </w:r>
    </w:p>
    <w:p w:rsidR="00A75D51" w:rsidRPr="005F3660" w:rsidRDefault="00A75D51" w:rsidP="00A75D51">
      <w:pPr>
        <w:pStyle w:val="MDPI17abstract"/>
        <w:spacing w:line="36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5F3660">
        <w:rPr>
          <w:rFonts w:ascii="Times New Roman" w:hAnsi="Times New Roman"/>
          <w:sz w:val="24"/>
          <w:szCs w:val="24"/>
          <w:lang w:val="pl-PL"/>
        </w:rPr>
        <w:t xml:space="preserve">Metodyka: Grupy eksperymentalne obejmowały 30 pacjentów w wieku od 23 do 70 lat, ze średnią wieku 40,4 lat. Zebrane tkanki zamrożono, a następnie rozdrobnione tkanki homogenizowano buforem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Ripa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 Lysis na lodzie. Supernatant otoczono i cztery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metaloproteinazy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 - MMP 3, MMP 7, MMP 8 i MMP 9 - analizowano za pomocą testu immunoenzymatycznego z użyciem zestawów SEA101HU, SEA102Hu, SEA103Hu i SEA553Hu (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Cloud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-Clone Corp., Kata, TX, USA). Wszystkie analizy chemiczne przeprowadzono w trzech powtórzeniach. Zawartość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metaloproteinazy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 wyrażono jako średnią ± odchylenie standardowe.</w:t>
      </w:r>
    </w:p>
    <w:p w:rsidR="00A75D51" w:rsidRPr="005F3660" w:rsidRDefault="00A75D51" w:rsidP="00A75D51">
      <w:pPr>
        <w:pStyle w:val="MDPI17abstract"/>
        <w:spacing w:line="36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5F3660">
        <w:rPr>
          <w:rFonts w:ascii="Times New Roman" w:hAnsi="Times New Roman"/>
          <w:sz w:val="24"/>
          <w:szCs w:val="24"/>
          <w:lang w:val="pl-PL"/>
        </w:rPr>
        <w:t xml:space="preserve">Wyniki: W wyniku oznaczeń potwierdzono, że MMP 3 i MMP 8 istotnie wpływały na możliwość nawrotu choroby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Leśniowskiego-Crohna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. Natomiast MMP7 i MMP 9 nie wykazały wpływu na nawrót choroby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Leśniowskiego-Crohna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A75D51" w:rsidRPr="005F3660" w:rsidRDefault="00A75D51" w:rsidP="00A75D51">
      <w:pPr>
        <w:pStyle w:val="MDPI17abstract"/>
        <w:spacing w:line="360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5F3660">
        <w:rPr>
          <w:rFonts w:ascii="Times New Roman" w:hAnsi="Times New Roman"/>
          <w:sz w:val="24"/>
          <w:szCs w:val="24"/>
          <w:lang w:val="pl-PL"/>
        </w:rPr>
        <w:t xml:space="preserve">Wnioski: Badania wykazały, że oznaczenie stężeń </w:t>
      </w:r>
      <w:proofErr w:type="spellStart"/>
      <w:r w:rsidRPr="005F3660">
        <w:rPr>
          <w:rFonts w:ascii="Times New Roman" w:hAnsi="Times New Roman"/>
          <w:sz w:val="24"/>
          <w:szCs w:val="24"/>
          <w:lang w:val="pl-PL"/>
        </w:rPr>
        <w:t>metaloproteinaz</w:t>
      </w:r>
      <w:proofErr w:type="spellEnd"/>
      <w:r w:rsidRPr="005F3660">
        <w:rPr>
          <w:rFonts w:ascii="Times New Roman" w:hAnsi="Times New Roman"/>
          <w:sz w:val="24"/>
          <w:szCs w:val="24"/>
          <w:lang w:val="pl-PL"/>
        </w:rPr>
        <w:t xml:space="preserve"> pacjentów mogą przyczynić się do dokładnej analizy następstw związanych z obecnością czynników wywołujących chorobę. </w:t>
      </w:r>
    </w:p>
    <w:p w:rsidR="00E5482D" w:rsidRDefault="00E5482D">
      <w:bookmarkStart w:id="1" w:name="_GoBack"/>
      <w:bookmarkEnd w:id="1"/>
    </w:p>
    <w:sectPr w:rsidR="00E5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6F"/>
    <w:rsid w:val="00305E9C"/>
    <w:rsid w:val="00601E6F"/>
    <w:rsid w:val="00985CAF"/>
    <w:rsid w:val="00A75D51"/>
    <w:rsid w:val="00B71BA0"/>
    <w:rsid w:val="00E5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CA33-C543-4786-BA25-5C5F8C93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D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MDPI17abstract">
    <w:name w:val="MDPI_1.7_abstract"/>
    <w:next w:val="Normalny"/>
    <w:qFormat/>
    <w:rsid w:val="00A75D51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</dc:creator>
  <cp:keywords/>
  <dc:description/>
  <cp:lastModifiedBy>B15</cp:lastModifiedBy>
  <cp:revision>2</cp:revision>
  <dcterms:created xsi:type="dcterms:W3CDTF">2023-05-23T10:29:00Z</dcterms:created>
  <dcterms:modified xsi:type="dcterms:W3CDTF">2023-05-23T10:29:00Z</dcterms:modified>
</cp:coreProperties>
</file>