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2F" w:rsidRPr="00B16CDA" w:rsidRDefault="006F0A2F" w:rsidP="009A4BB5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16CDA">
        <w:rPr>
          <w:b/>
          <w:sz w:val="24"/>
          <w:szCs w:val="24"/>
          <w:lang w:val="en-US"/>
        </w:rPr>
        <w:t>Summary</w:t>
      </w:r>
    </w:p>
    <w:p w:rsidR="009A4BB5" w:rsidRPr="00A70501" w:rsidRDefault="009A4BB5" w:rsidP="009A4BB5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A70501">
        <w:rPr>
          <w:b/>
          <w:sz w:val="24"/>
          <w:szCs w:val="24"/>
          <w:lang w:val="en-US"/>
        </w:rPr>
        <w:t xml:space="preserve">Introduction: </w:t>
      </w:r>
      <w:r w:rsidRPr="00A70501">
        <w:rPr>
          <w:sz w:val="24"/>
          <w:szCs w:val="24"/>
          <w:lang w:val="en-US"/>
        </w:rPr>
        <w:t xml:space="preserve">COVID-19 has been associated with </w:t>
      </w:r>
      <w:proofErr w:type="spellStart"/>
      <w:r w:rsidRPr="00A70501">
        <w:rPr>
          <w:sz w:val="24"/>
          <w:szCs w:val="24"/>
          <w:lang w:val="en-US"/>
        </w:rPr>
        <w:t>multiorgan</w:t>
      </w:r>
      <w:proofErr w:type="spellEnd"/>
      <w:r w:rsidRPr="00A70501">
        <w:rPr>
          <w:sz w:val="24"/>
          <w:szCs w:val="24"/>
          <w:lang w:val="en-US"/>
        </w:rPr>
        <w:t xml:space="preserve"> dysfunction with a wide variety of clinical manifestations including myocardial injury. </w:t>
      </w:r>
      <w:proofErr w:type="spellStart"/>
      <w:r w:rsidRPr="00A70501">
        <w:rPr>
          <w:sz w:val="24"/>
          <w:szCs w:val="24"/>
          <w:lang w:val="en-US"/>
        </w:rPr>
        <w:t>Myocarditis</w:t>
      </w:r>
      <w:proofErr w:type="spellEnd"/>
      <w:r w:rsidRPr="00A70501">
        <w:rPr>
          <w:sz w:val="24"/>
          <w:szCs w:val="24"/>
          <w:lang w:val="en-US"/>
        </w:rPr>
        <w:t>, cardiac arr</w:t>
      </w:r>
      <w:r>
        <w:rPr>
          <w:sz w:val="24"/>
          <w:szCs w:val="24"/>
          <w:lang w:val="en-US"/>
        </w:rPr>
        <w:t xml:space="preserve">hythmias, stress </w:t>
      </w:r>
      <w:proofErr w:type="spellStart"/>
      <w:r>
        <w:rPr>
          <w:sz w:val="24"/>
          <w:szCs w:val="24"/>
          <w:lang w:val="en-US"/>
        </w:rPr>
        <w:t>cardiomyopathy</w:t>
      </w:r>
      <w:proofErr w:type="spellEnd"/>
      <w:r w:rsidRPr="00A70501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>myocardial infarction</w:t>
      </w:r>
      <w:r w:rsidRPr="00A70501">
        <w:rPr>
          <w:sz w:val="24"/>
          <w:szCs w:val="24"/>
          <w:lang w:val="en-US"/>
        </w:rPr>
        <w:t xml:space="preserve"> have been commonly observed</w:t>
      </w:r>
      <w:r>
        <w:rPr>
          <w:sz w:val="24"/>
          <w:szCs w:val="24"/>
          <w:lang w:val="en-US"/>
        </w:rPr>
        <w:t xml:space="preserve"> in this group</w:t>
      </w:r>
      <w:r w:rsidRPr="00A70501">
        <w:rPr>
          <w:sz w:val="24"/>
          <w:szCs w:val="24"/>
          <w:lang w:val="en-US"/>
        </w:rPr>
        <w:t>. Decreased healthcare resources led to a reduction in invasive cardiology procedures and increased mortality due to cardiovascular diseases.</w:t>
      </w:r>
      <w:r w:rsidRPr="00A70501">
        <w:rPr>
          <w:b/>
          <w:sz w:val="24"/>
          <w:szCs w:val="24"/>
          <w:lang w:val="en-US"/>
        </w:rPr>
        <w:t xml:space="preserve"> </w:t>
      </w:r>
    </w:p>
    <w:p w:rsidR="009A4BB5" w:rsidRDefault="009A4BB5" w:rsidP="009A4BB5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A70501">
        <w:rPr>
          <w:b/>
          <w:sz w:val="24"/>
          <w:szCs w:val="24"/>
          <w:lang w:val="en-US"/>
        </w:rPr>
        <w:t xml:space="preserve">Aim: </w:t>
      </w:r>
      <w:r w:rsidRPr="00A70501">
        <w:rPr>
          <w:sz w:val="24"/>
          <w:szCs w:val="24"/>
          <w:lang w:val="en-US"/>
        </w:rPr>
        <w:t xml:space="preserve">This study aimed to describe the clinical characteristics, the course </w:t>
      </w:r>
      <w:r>
        <w:rPr>
          <w:sz w:val="24"/>
          <w:szCs w:val="24"/>
          <w:lang w:val="en-US"/>
        </w:rPr>
        <w:br/>
      </w:r>
      <w:r w:rsidRPr="00A70501">
        <w:rPr>
          <w:sz w:val="24"/>
          <w:szCs w:val="24"/>
          <w:lang w:val="en-US"/>
        </w:rPr>
        <w:t>of hospitalization, outcomes,</w:t>
      </w:r>
      <w:r>
        <w:rPr>
          <w:sz w:val="24"/>
          <w:szCs w:val="24"/>
          <w:lang w:val="en-US"/>
        </w:rPr>
        <w:t xml:space="preserve"> angiographic findings,</w:t>
      </w:r>
      <w:r w:rsidRPr="00A70501">
        <w:rPr>
          <w:sz w:val="24"/>
          <w:szCs w:val="24"/>
          <w:lang w:val="en-US"/>
        </w:rPr>
        <w:t xml:space="preserve"> cardiac arrhythmias and risk factors </w:t>
      </w:r>
      <w:r>
        <w:rPr>
          <w:sz w:val="24"/>
          <w:szCs w:val="24"/>
          <w:lang w:val="en-US"/>
        </w:rPr>
        <w:br/>
      </w:r>
      <w:r w:rsidRPr="00A70501">
        <w:rPr>
          <w:sz w:val="24"/>
          <w:szCs w:val="24"/>
          <w:lang w:val="en-US"/>
        </w:rPr>
        <w:t xml:space="preserve">of death among patients with cardiovascular diseases and concomitant SARS-CoV-2 infection. </w:t>
      </w:r>
    </w:p>
    <w:p w:rsidR="009A4BB5" w:rsidRPr="00B16CDA" w:rsidRDefault="009A4BB5" w:rsidP="009A4BB5">
      <w:pPr>
        <w:spacing w:line="360" w:lineRule="auto"/>
        <w:jc w:val="both"/>
        <w:rPr>
          <w:sz w:val="24"/>
          <w:szCs w:val="24"/>
          <w:lang w:val="en-US"/>
        </w:rPr>
      </w:pPr>
      <w:r w:rsidRPr="0036719D">
        <w:rPr>
          <w:b/>
          <w:sz w:val="24"/>
          <w:szCs w:val="24"/>
          <w:lang w:val="en-US"/>
        </w:rPr>
        <w:t>Materials and methods: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This was a single-center study of consecutive patients admitted </w:t>
      </w:r>
      <w:r>
        <w:rPr>
          <w:sz w:val="24"/>
          <w:szCs w:val="24"/>
          <w:lang w:val="en-US"/>
        </w:rPr>
        <w:br/>
        <w:t>to a multi-specialist hospital from October 23</w:t>
      </w:r>
      <w:r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>, 2020 to April 23</w:t>
      </w:r>
      <w:r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, 2021 (exactly 6 months). Data were collected into a prospective registry. </w:t>
      </w:r>
      <w:r w:rsidRPr="00A70501">
        <w:rPr>
          <w:sz w:val="24"/>
          <w:szCs w:val="24"/>
          <w:lang w:val="en-US"/>
        </w:rPr>
        <w:t xml:space="preserve">Outcomes were </w:t>
      </w:r>
      <w:r>
        <w:rPr>
          <w:sz w:val="24"/>
          <w:szCs w:val="24"/>
          <w:lang w:val="en-US"/>
        </w:rPr>
        <w:br/>
      </w:r>
      <w:r w:rsidRPr="00A70501">
        <w:rPr>
          <w:sz w:val="24"/>
          <w:szCs w:val="24"/>
          <w:lang w:val="en-US"/>
        </w:rPr>
        <w:t xml:space="preserve">in-hospital mortality, mechanical ventilation and </w:t>
      </w:r>
      <w:r>
        <w:rPr>
          <w:sz w:val="24"/>
          <w:szCs w:val="24"/>
          <w:lang w:val="en-US"/>
        </w:rPr>
        <w:t xml:space="preserve">a </w:t>
      </w:r>
      <w:r w:rsidRPr="00A70501">
        <w:rPr>
          <w:sz w:val="24"/>
          <w:szCs w:val="24"/>
          <w:lang w:val="en-US"/>
        </w:rPr>
        <w:t xml:space="preserve">prevalence of </w:t>
      </w:r>
      <w:proofErr w:type="spellStart"/>
      <w:r w:rsidRPr="00A70501">
        <w:rPr>
          <w:sz w:val="24"/>
          <w:szCs w:val="24"/>
          <w:lang w:val="en-US"/>
        </w:rPr>
        <w:t>cardiogenic</w:t>
      </w:r>
      <w:proofErr w:type="spellEnd"/>
      <w:r w:rsidRPr="00A70501">
        <w:rPr>
          <w:sz w:val="24"/>
          <w:szCs w:val="24"/>
          <w:lang w:val="en-US"/>
        </w:rPr>
        <w:t xml:space="preserve"> shock.</w:t>
      </w:r>
      <w:r>
        <w:rPr>
          <w:sz w:val="24"/>
          <w:szCs w:val="24"/>
          <w:lang w:val="en-US"/>
        </w:rPr>
        <w:br/>
        <w:t>The GRACE risk score was calculated in patients with myocardial infarction.</w:t>
      </w:r>
    </w:p>
    <w:p w:rsidR="009A4BB5" w:rsidRDefault="009A4BB5" w:rsidP="009A4BB5">
      <w:pPr>
        <w:spacing w:line="360" w:lineRule="auto"/>
        <w:jc w:val="both"/>
        <w:rPr>
          <w:sz w:val="24"/>
          <w:szCs w:val="24"/>
          <w:lang w:val="en-US"/>
        </w:rPr>
      </w:pPr>
      <w:r w:rsidRPr="0036719D">
        <w:rPr>
          <w:b/>
          <w:sz w:val="24"/>
          <w:szCs w:val="24"/>
          <w:lang w:val="en-US"/>
        </w:rPr>
        <w:t>Results:</w:t>
      </w:r>
      <w:r>
        <w:rPr>
          <w:b/>
          <w:sz w:val="24"/>
          <w:szCs w:val="24"/>
          <w:lang w:val="en-US"/>
        </w:rPr>
        <w:t xml:space="preserve"> </w:t>
      </w:r>
      <w:r w:rsidRPr="00C24319">
        <w:rPr>
          <w:sz w:val="24"/>
          <w:szCs w:val="24"/>
          <w:lang w:val="en-US"/>
        </w:rPr>
        <w:t>227</w:t>
      </w:r>
      <w:r>
        <w:rPr>
          <w:sz w:val="24"/>
          <w:szCs w:val="24"/>
          <w:lang w:val="en-US"/>
        </w:rPr>
        <w:t xml:space="preserve"> patients were admitted to the ward and completed their course </w:t>
      </w:r>
      <w:r>
        <w:rPr>
          <w:sz w:val="24"/>
          <w:szCs w:val="24"/>
          <w:lang w:val="en-US"/>
        </w:rPr>
        <w:br/>
        <w:t xml:space="preserve">(i.e. discharge or death). Overall, in-hospital mortality was 21%. Non-survivors had </w:t>
      </w:r>
      <w:r>
        <w:rPr>
          <w:sz w:val="24"/>
          <w:szCs w:val="24"/>
          <w:lang w:val="en-US"/>
        </w:rPr>
        <w:br/>
        <w:t xml:space="preserve">a higher level of </w:t>
      </w:r>
      <w:proofErr w:type="spellStart"/>
      <w:r>
        <w:rPr>
          <w:sz w:val="24"/>
          <w:szCs w:val="24"/>
          <w:lang w:val="en-US"/>
        </w:rPr>
        <w:t>troponin</w:t>
      </w:r>
      <w:proofErr w:type="spellEnd"/>
      <w:r>
        <w:rPr>
          <w:sz w:val="24"/>
          <w:szCs w:val="24"/>
          <w:lang w:val="en-US"/>
        </w:rPr>
        <w:t xml:space="preserve"> I, NT-pro-BNP, WBC, D-</w:t>
      </w:r>
      <w:proofErr w:type="spellStart"/>
      <w:r>
        <w:rPr>
          <w:sz w:val="24"/>
          <w:szCs w:val="24"/>
          <w:lang w:val="en-US"/>
        </w:rPr>
        <w:t>dimer</w:t>
      </w:r>
      <w:proofErr w:type="spellEnd"/>
      <w:r>
        <w:rPr>
          <w:sz w:val="24"/>
          <w:szCs w:val="24"/>
          <w:lang w:val="en-US"/>
        </w:rPr>
        <w:t xml:space="preserve">, CRP and PCT than survivors. </w:t>
      </w:r>
      <w:r w:rsidRPr="00066E34">
        <w:rPr>
          <w:sz w:val="24"/>
          <w:szCs w:val="24"/>
          <w:lang w:val="en-US"/>
        </w:rPr>
        <w:t xml:space="preserve">Age over 65 years (OR, 2.33; 95% CI, 1.09–4.97; </w:t>
      </w:r>
      <w:r>
        <w:rPr>
          <w:sz w:val="24"/>
          <w:szCs w:val="24"/>
          <w:lang w:val="en-US"/>
        </w:rPr>
        <w:t>p=</w:t>
      </w:r>
      <w:r w:rsidRPr="00066E34">
        <w:rPr>
          <w:sz w:val="24"/>
          <w:szCs w:val="24"/>
          <w:lang w:val="en-US"/>
        </w:rPr>
        <w:t>0.029)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>and ejection fraction &lt;50% (OR, 3.94; 95% CI, 1.9–8.18;</w:t>
      </w:r>
      <w:r>
        <w:rPr>
          <w:sz w:val="24"/>
          <w:szCs w:val="24"/>
          <w:lang w:val="en-US"/>
        </w:rPr>
        <w:t xml:space="preserve"> p</w:t>
      </w:r>
      <w:r w:rsidRPr="00066E34">
        <w:rPr>
          <w:sz w:val="24"/>
          <w:szCs w:val="24"/>
          <w:lang w:val="en-US"/>
        </w:rPr>
        <w:t xml:space="preserve">&lt;0.001) were independent predictors </w:t>
      </w:r>
      <w:r>
        <w:rPr>
          <w:sz w:val="24"/>
          <w:szCs w:val="24"/>
          <w:lang w:val="en-US"/>
        </w:rPr>
        <w:br/>
      </w:r>
      <w:r w:rsidRPr="00066E34">
        <w:rPr>
          <w:sz w:val="24"/>
          <w:szCs w:val="24"/>
          <w:lang w:val="en-US"/>
        </w:rPr>
        <w:t>of in-hospital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>death, whereas treatment with ACEIs/ARBs (OR, 0.32; 95%</w:t>
      </w:r>
      <w:r>
        <w:rPr>
          <w:sz w:val="24"/>
          <w:szCs w:val="24"/>
          <w:lang w:val="en-US"/>
        </w:rPr>
        <w:t xml:space="preserve"> CI, </w:t>
      </w:r>
      <w:r>
        <w:rPr>
          <w:sz w:val="24"/>
          <w:szCs w:val="24"/>
          <w:lang w:val="en-US"/>
        </w:rPr>
        <w:br/>
        <w:t>0.16–0.62; P</w:t>
      </w:r>
      <w:r w:rsidRPr="00066E34">
        <w:rPr>
          <w:sz w:val="24"/>
          <w:szCs w:val="24"/>
          <w:lang w:val="en-US"/>
        </w:rPr>
        <w:t>&lt;0.001) or β-blockers (OR, 0.34; 95% CI,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 xml:space="preserve">0.17–0.68; </w:t>
      </w:r>
      <w:r>
        <w:rPr>
          <w:sz w:val="24"/>
          <w:szCs w:val="24"/>
          <w:lang w:val="en-US"/>
        </w:rPr>
        <w:t>p=</w:t>
      </w:r>
      <w:r w:rsidRPr="00066E34">
        <w:rPr>
          <w:sz w:val="24"/>
          <w:szCs w:val="24"/>
          <w:lang w:val="en-US"/>
        </w:rPr>
        <w:t>0.002) were associated with a lower risk of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>in-hospital death and mechanical ventilation (OR, 0.16;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 xml:space="preserve">95% CI, 0.05–0.5; </w:t>
      </w:r>
      <w:r>
        <w:rPr>
          <w:sz w:val="24"/>
          <w:szCs w:val="24"/>
          <w:lang w:val="en-US"/>
        </w:rPr>
        <w:t>p=</w:t>
      </w:r>
      <w:r w:rsidRPr="00066E34">
        <w:rPr>
          <w:sz w:val="24"/>
          <w:szCs w:val="24"/>
          <w:lang w:val="en-US"/>
        </w:rPr>
        <w:t>0.002 and OR, 0.31; 95% CI, 0.12–0.79;</w:t>
      </w:r>
      <w:r>
        <w:rPr>
          <w:sz w:val="24"/>
          <w:szCs w:val="24"/>
          <w:lang w:val="en-US"/>
        </w:rPr>
        <w:t xml:space="preserve"> p=</w:t>
      </w:r>
      <w:r w:rsidRPr="00066E34">
        <w:rPr>
          <w:sz w:val="24"/>
          <w:szCs w:val="24"/>
          <w:lang w:val="en-US"/>
        </w:rPr>
        <w:t>0.014, respectively).</w:t>
      </w:r>
    </w:p>
    <w:p w:rsidR="009A4BB5" w:rsidRDefault="009A4BB5" w:rsidP="009A4BB5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48% patients with STEMI and concomitant COVID-19 died. </w:t>
      </w:r>
      <w:proofErr w:type="spellStart"/>
      <w:r>
        <w:rPr>
          <w:sz w:val="24"/>
          <w:szCs w:val="24"/>
          <w:lang w:val="en-US"/>
        </w:rPr>
        <w:t>Postprocedural</w:t>
      </w:r>
      <w:proofErr w:type="spellEnd"/>
      <w:r>
        <w:rPr>
          <w:sz w:val="24"/>
          <w:szCs w:val="24"/>
          <w:lang w:val="en-US"/>
        </w:rPr>
        <w:t xml:space="preserve"> TIMI 3 flow grade was less frequently observed in non-survivors (p=0.039). </w:t>
      </w:r>
      <w:r>
        <w:rPr>
          <w:sz w:val="24"/>
          <w:szCs w:val="24"/>
          <w:lang w:val="en-US"/>
        </w:rPr>
        <w:br/>
        <w:t>There was a higher GRACE risk score in this group (mean ± SD; 210 ±35 vs. 169±42, p=</w:t>
      </w:r>
      <w:r w:rsidRPr="00066E34">
        <w:rPr>
          <w:sz w:val="24"/>
          <w:szCs w:val="24"/>
          <w:lang w:val="en-US"/>
        </w:rPr>
        <w:t>0.014). In ROC analysis, GRACE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 xml:space="preserve">score predicted in-hospital death with an AUC </w:t>
      </w:r>
      <w:r>
        <w:rPr>
          <w:sz w:val="24"/>
          <w:szCs w:val="24"/>
          <w:lang w:val="en-US"/>
        </w:rPr>
        <w:br/>
      </w:r>
      <w:r w:rsidRPr="00066E34">
        <w:rPr>
          <w:sz w:val="24"/>
          <w:szCs w:val="24"/>
          <w:lang w:val="en-US"/>
        </w:rPr>
        <w:t>of 0.788 (95% CI: 0.6–0.98,</w:t>
      </w:r>
      <w:r>
        <w:rPr>
          <w:sz w:val="24"/>
          <w:szCs w:val="24"/>
          <w:lang w:val="en-US"/>
        </w:rPr>
        <w:t xml:space="preserve"> p=</w:t>
      </w:r>
      <w:r w:rsidRPr="00066E34">
        <w:rPr>
          <w:sz w:val="24"/>
          <w:szCs w:val="24"/>
          <w:lang w:val="en-US"/>
        </w:rPr>
        <w:t xml:space="preserve">0.014). A score of 176 was identified as the optimal </w:t>
      </w:r>
      <w:r>
        <w:rPr>
          <w:sz w:val="24"/>
          <w:szCs w:val="24"/>
          <w:lang w:val="en-US"/>
        </w:rPr>
        <w:br/>
      </w:r>
      <w:r w:rsidRPr="00066E34">
        <w:rPr>
          <w:sz w:val="24"/>
          <w:szCs w:val="24"/>
          <w:lang w:val="en-US"/>
        </w:rPr>
        <w:t>cut-off with a sensitivity</w:t>
      </w:r>
      <w:r>
        <w:rPr>
          <w:sz w:val="24"/>
          <w:szCs w:val="24"/>
          <w:lang w:val="en-US"/>
        </w:rPr>
        <w:t xml:space="preserve"> </w:t>
      </w:r>
      <w:r w:rsidRPr="00066E34">
        <w:rPr>
          <w:sz w:val="24"/>
          <w:szCs w:val="24"/>
          <w:lang w:val="en-US"/>
        </w:rPr>
        <w:t>of 92% and specificity of 69%.</w:t>
      </w:r>
    </w:p>
    <w:p w:rsidR="009A4BB5" w:rsidRDefault="009A4BB5" w:rsidP="009A4BB5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When compared COVID-19 positive and negative patients we found that there were no differences with regard to the time from symptom onset to reperfusion (median (Q1-Q3); 165 (130-202) vs. (170 (123-210), p=0.86) and door-to-balloon time between the compared groups (25 (21-35) vs. 29 (21-59), p=0.26). There was a higher GRACE risk score and mortality in the COVID-19 positive </w:t>
      </w:r>
      <w:r w:rsidRPr="00EE25A5">
        <w:rPr>
          <w:sz w:val="24"/>
          <w:szCs w:val="24"/>
          <w:lang w:val="en-US"/>
        </w:rPr>
        <w:t xml:space="preserve">patients </w:t>
      </w:r>
      <w:r w:rsidRPr="00EE25A5">
        <w:rPr>
          <w:rFonts w:eastAsia="Times New Roman"/>
          <w:color w:val="000000" w:themeColor="text1"/>
          <w:sz w:val="24"/>
          <w:szCs w:val="24"/>
          <w:lang w:val="en-GB"/>
        </w:rPr>
        <w:t xml:space="preserve">(180 (154-226) vs. 155 </w:t>
      </w:r>
      <w:r>
        <w:rPr>
          <w:rFonts w:eastAsia="Times New Roman"/>
          <w:color w:val="000000" w:themeColor="text1"/>
          <w:sz w:val="24"/>
          <w:szCs w:val="24"/>
          <w:lang w:val="en-GB"/>
        </w:rPr>
        <w:br/>
      </w:r>
      <w:r w:rsidRPr="00EE25A5">
        <w:rPr>
          <w:rFonts w:eastAsia="Times New Roman"/>
          <w:color w:val="000000" w:themeColor="text1"/>
          <w:sz w:val="24"/>
          <w:szCs w:val="24"/>
          <w:lang w:val="en-GB"/>
        </w:rPr>
        <w:t>(132-181) and 48% vs.10%, respectively, both p&lt;0.0001)</w:t>
      </w:r>
      <w:r w:rsidRPr="00EE25A5">
        <w:rPr>
          <w:sz w:val="24"/>
          <w:szCs w:val="24"/>
          <w:lang w:val="en-US"/>
        </w:rPr>
        <w:t xml:space="preserve">. </w:t>
      </w:r>
      <w:proofErr w:type="spellStart"/>
      <w:r w:rsidRPr="00EE25A5">
        <w:rPr>
          <w:sz w:val="24"/>
          <w:szCs w:val="24"/>
          <w:lang w:val="en-US"/>
        </w:rPr>
        <w:t>Cardiogenic</w:t>
      </w:r>
      <w:proofErr w:type="spellEnd"/>
      <w:r w:rsidRPr="00EE25A5">
        <w:rPr>
          <w:sz w:val="24"/>
          <w:szCs w:val="24"/>
          <w:lang w:val="en-US"/>
        </w:rPr>
        <w:t xml:space="preserve"> shock occurred</w:t>
      </w:r>
      <w:r>
        <w:rPr>
          <w:sz w:val="24"/>
          <w:szCs w:val="24"/>
          <w:lang w:val="en-US"/>
        </w:rPr>
        <w:t xml:space="preserve"> more often in this group (32 % vs. 13%; p=0.035). COVID-19 positive patients had elevated </w:t>
      </w:r>
      <w:proofErr w:type="spellStart"/>
      <w:r>
        <w:rPr>
          <w:sz w:val="24"/>
          <w:szCs w:val="24"/>
          <w:lang w:val="en-US"/>
        </w:rPr>
        <w:t>hsCRP</w:t>
      </w:r>
      <w:proofErr w:type="spellEnd"/>
      <w:r>
        <w:rPr>
          <w:sz w:val="24"/>
          <w:szCs w:val="24"/>
          <w:lang w:val="en-US"/>
        </w:rPr>
        <w:t xml:space="preserve"> (p&lt;0.0001) and D-</w:t>
      </w:r>
      <w:proofErr w:type="spellStart"/>
      <w:r>
        <w:rPr>
          <w:sz w:val="24"/>
          <w:szCs w:val="24"/>
          <w:lang w:val="en-US"/>
        </w:rPr>
        <w:t>Dimer</w:t>
      </w:r>
      <w:proofErr w:type="spellEnd"/>
      <w:r>
        <w:rPr>
          <w:sz w:val="24"/>
          <w:szCs w:val="24"/>
          <w:lang w:val="en-US"/>
        </w:rPr>
        <w:t xml:space="preserve"> (p=0.003) and reduced left ventricle ejection fraction (p=0.037). </w:t>
      </w:r>
      <w:proofErr w:type="spellStart"/>
      <w:r>
        <w:rPr>
          <w:sz w:val="24"/>
          <w:szCs w:val="24"/>
          <w:lang w:val="en-US"/>
        </w:rPr>
        <w:t>Postprocedural</w:t>
      </w:r>
      <w:proofErr w:type="spellEnd"/>
      <w:r>
        <w:rPr>
          <w:sz w:val="24"/>
          <w:szCs w:val="24"/>
          <w:lang w:val="en-US"/>
        </w:rPr>
        <w:t xml:space="preserve"> TIMI 3 flow grade was observed less frequently </w:t>
      </w:r>
      <w:r>
        <w:rPr>
          <w:sz w:val="24"/>
          <w:szCs w:val="24"/>
          <w:lang w:val="en-US"/>
        </w:rPr>
        <w:br/>
        <w:t>in this group (p=0.044).</w:t>
      </w:r>
    </w:p>
    <w:p w:rsidR="009A4BB5" w:rsidRDefault="009A4BB5" w:rsidP="009A4BB5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17% of COVID-19 positive patients were hospitalized due to cardiac arrhythmias or the need for cardiac implantable electronic devices implantation, replacements or removal. </w:t>
      </w:r>
    </w:p>
    <w:p w:rsidR="009A4BB5" w:rsidRPr="007A730A" w:rsidRDefault="009A4BB5" w:rsidP="009A4BB5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36719D">
        <w:rPr>
          <w:b/>
          <w:sz w:val="24"/>
          <w:szCs w:val="24"/>
          <w:lang w:val="en-US"/>
        </w:rPr>
        <w:t>Conclusions:</w:t>
      </w:r>
      <w:r>
        <w:rPr>
          <w:b/>
          <w:sz w:val="24"/>
          <w:szCs w:val="24"/>
          <w:lang w:val="en-US"/>
        </w:rPr>
        <w:t xml:space="preserve"> </w:t>
      </w:r>
      <w:r w:rsidRPr="007A730A">
        <w:rPr>
          <w:sz w:val="24"/>
          <w:szCs w:val="24"/>
          <w:lang w:val="en-US"/>
        </w:rPr>
        <w:t>The coexistence of COVID-19 and cardiovascular disease lead to a high in-hospital mortality rate which in patients with ST-elevation myocardial infarction was 48%.</w:t>
      </w:r>
      <w:r>
        <w:rPr>
          <w:sz w:val="24"/>
          <w:szCs w:val="24"/>
          <w:lang w:val="en-US"/>
        </w:rPr>
        <w:t xml:space="preserve"> Laboratory tests, reduced left ventricle ejection fraction and coronary flow grade help identify patients with a poor prognosis. </w:t>
      </w:r>
      <w:r w:rsidRPr="00C24319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GRACE risk score is a good predictor of in-hospital mortality in patients presenting with STEMI and concomitant COVID-19. High in-hospital mortality in this group did not result from delays in standard management and could be related to increased </w:t>
      </w:r>
      <w:proofErr w:type="spellStart"/>
      <w:r>
        <w:rPr>
          <w:sz w:val="24"/>
          <w:szCs w:val="24"/>
          <w:lang w:val="en-US"/>
        </w:rPr>
        <w:t>thrombogenicity</w:t>
      </w:r>
      <w:proofErr w:type="spellEnd"/>
      <w:r>
        <w:rPr>
          <w:sz w:val="24"/>
          <w:szCs w:val="24"/>
          <w:lang w:val="en-US"/>
        </w:rPr>
        <w:t>. Cardiac arrhythmias are one of the major cardiovascular complications of COVID-19.</w:t>
      </w:r>
    </w:p>
    <w:p w:rsidR="0036719D" w:rsidRPr="006F0A2F" w:rsidRDefault="0036719D" w:rsidP="009A4BB5">
      <w:pPr>
        <w:spacing w:line="360" w:lineRule="auto"/>
        <w:jc w:val="both"/>
        <w:rPr>
          <w:szCs w:val="24"/>
          <w:lang w:val="en-US"/>
        </w:rPr>
      </w:pPr>
    </w:p>
    <w:sectPr w:rsidR="0036719D" w:rsidRPr="006F0A2F" w:rsidSect="000E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6719D"/>
    <w:rsid w:val="00007AAB"/>
    <w:rsid w:val="000E49F3"/>
    <w:rsid w:val="0036719D"/>
    <w:rsid w:val="006F0A2F"/>
    <w:rsid w:val="009711AE"/>
    <w:rsid w:val="009A4BB5"/>
    <w:rsid w:val="009D7375"/>
    <w:rsid w:val="00BC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6067-FFE3-45CE-A687-E0B36627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Mariusz</dc:creator>
  <cp:lastModifiedBy>Asia i Mariusz</cp:lastModifiedBy>
  <cp:revision>3</cp:revision>
  <dcterms:created xsi:type="dcterms:W3CDTF">2023-01-31T11:09:00Z</dcterms:created>
  <dcterms:modified xsi:type="dcterms:W3CDTF">2023-02-01T16:00:00Z</dcterms:modified>
</cp:coreProperties>
</file>